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88R9265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timely testing of evidence for controlled substances and dangerous drugs and the dismissal of certain criminal charges.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Code of Criminal Procedure, is amended by adding Article 38.51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38.51.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TESTING FOR CONTROLLED SUBSTANCES OR DANGEROUS DRUGS.  (a)  In this article: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"Controlled substance" has the meaning assigned by Section 481.002,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"Dangerous drug" has the meaning assigned by Section 483.001,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that may contain a controlled substance or dangerous drug that is seized by a law enforcement agency in connection with a criminal action must be submitted to a laboratory to be tested using validated laboratory procedures and sampling protocols to determine whether the substance is a controlled substance or dangerous drug.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shall dismiss a charge for an offense under Subchapter D, Chapter 481, Health and Safety Code, or Subchapter C, Chapter 483, Health and Safety Code, involving the manufacture, delivery, or possession of a controlled substance or dangerous drug if the testing required under this article is not completed before the 30th day after the date the seizure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evidence seized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