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88R9381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3362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active shooter training for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of not less than 16 hours on responding to an active shooter as provided by the Advanced Law Enforcement Rapid Response Training Center at Texas State University--San Marcos, or a similar organization approved by the commission.  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  Completion of a training program under this subsection satisfies any other requirement for the officer to complete a training program on responding to active shooters, including under Section 37.0812(a),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Law Enforcement shall adopt rules to implement Section 1701.253(q),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