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88R7077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transactions involving tubular steel used in the oil and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1956.001(10),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"Regulated metal"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manhole covers;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guardrails;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metal cylinders designed to contain compressed air, oxygen, gases, or liquids;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malt beverage kegs made from metal other than aluminum;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historical markers or cemetery vases, receptacles, or memorials made from metal other than aluminum;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unused rebar;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street signs;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drain gates;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safes;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communication, transmission, and service wire or cable;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condensing or evaporator coils for central heating or air conditioning units;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utility structures, including the fixtures and hardware;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aluminum or stainless steel containers designed to hold propane for fueling forklifts;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metal railroad equipment, including tie plates, signal houses, control boxes, signs, signals, traffic devices, traffic control devices, traffic control signals, switch plates, e-clips, and rail tie functions;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catalytic converters not attached to a vehicle;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fire hydrants;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metal bleachers or other seating facilities used in recreational areas or sporting arenas;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any metal item clearly and conspicuously marked with any form of the name, initials, or logo of a governmental entity, utility, cemetery, or railroad;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insulated utility, communications, or electrical wire that has been burned in whole or in part to remove the insulation;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backflow valves;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metal in the form of commonly recognized products of the industrial metals recycling process, including bales, briquettes, billets, sows, ingots, pucks, and chopped or shredded metals;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commercial grade lead batteries or lead-acid batteries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tubular steel used in the oil and gas industry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1956, Occupations Code, is amended by adding Section 1956.0021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1956.0021.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APPLICATION TO CERTAIN TUBULAR STEEL TRANSACTIONS.  The recordkeeping and reporting requirements of this chapter apply to a purchase of tubular steel products that have been used in the oil and gas industry by a person engaged in the business of purchasing and reselling those products to the same extent as a purchase of regulated material by a metal recycling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