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88R6725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3370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physical therapists to serve as a treating doctor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401, Labor Code, is amended by adding Section 401.015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401.015.</w:t>
      </w:r>
      <w:r>
        <w:rPr>
          <w:u w:val="single"/>
        </w:rPr>
        <w:t xml:space="preserve"> </w:t>
      </w:r>
      <w:r>
        <w:rPr>
          <w:u w:val="single"/>
        </w:rPr>
        <w:t xml:space="preserve"> </w:t>
      </w:r>
      <w:r>
        <w:rPr>
          <w:u w:val="single"/>
        </w:rPr>
        <w:t xml:space="preserve">DEFINITION OF TREATING DOCTOR.  (a)  In this subtitle, "treating doctor" means the health care practitioner who is primarily responsible for the employee's health care for an injury.  A treating doctor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doctor, as defined by Section 401.011(17);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any other law, a physical therapist licensed under Chapter 453, Occupations Code, who is described by Section 453.301(a) or (a-2) of that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453.301, Occupations Code, a physical therapist described by Subsection (a)(2) of this section is not required to obtain a referral from another practitioner to provide care as a treating doctor under this subtitle.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401.011(42), Labor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the provision of health care services to an injured employee by a physical therapist on or after the effective date of this Act.  Health care services provided before that date are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