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88R13045 MPF-D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Thimesch, Slawson, Hayes, DeAyala,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Capriglione,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political contributions, including in-kind contributions, and expenditures made using a credit 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254, Election Code, is amended by adding Section 254.044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254.044.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POLITICAL CONTRIBUTIONS AND EXPENDITURES MADE USING CREDIT CARD.  (a)  A candidate or officeholder who accepts a political contribution made using a credit card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political contribution for which a processing fee is deducted by the credit card issuer from the political contribution amount: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contribution the full amount, including the deducted amount;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expenditure the deducted amount;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political contribution for which a processing fee is paid by the person making the political contribution in excess of the political contribution amount: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contribution the full amount, not including the amount paid in excess of the political contribution amount;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an in-kind contribution the amount paid in excess of the political contribution amount.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 and for purposes of reporting in-kind contributions under Subsection (a)(2)(B), a candidate or officeholder may aggregate those in-kind contributions for the reporting period during which the in-kind contributions are accepted.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254.044, Election Code, as added by this Act, applies only to a report of political contributions and expenditures under Chapter 254, Election Code, that is required to be filed on or after January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