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88R13045 MPF-D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Thimesch, Slawson, Hayes, DeAyala,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Capriglione, 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DeAyala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political contributions, including in-kind contributions, and expenditures made using a credit card.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254, Election Code, is amended by adding Section 254.044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254.044.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POLITICAL CONTRIBUTIONS AND EXPENDITURES MADE USING CREDIT CARD.  (a)  A candidate or officeholder who accepts a political contribution made using a credit card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political contribution for which a processing fee is deducted by the credit card issuer from the political contribution amount: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 political contribution the full amount, including the deducted amount;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 political expenditure the deducted amount;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political contribution for which a processing fee is paid by the person making the political contribution in excess of the political contribution amount: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 political contribution the full amount, not including the amount paid in excess of the political contribution amount;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as an in-kind contribution the amount paid in excess of the political contribution amount.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 and for purposes of reporting in-kind contributions under Subsection (a)(2)(B), a candidate or officeholder may aggregate those in-kind contributions for the reporting period during which the in-kind contributions are accepted.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254.044, Election Code, as added by this Act, applies only to a report of political contributions and expenditures under Chapter 254, Election Code, that is required to be filed on or after January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