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88R21279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Craddick, et al.</w:t>
      </w:r>
      <w:r xml:space="preserve">
        <w:tab wTab="150" tlc="none" cTlc="0"/>
      </w:r>
      <w:r>
        <w:t xml:space="preserve">H.B.</w:t>
      </w:r>
      <w:r xml:space="preserve">
        <w:t> </w:t>
      </w:r>
      <w:r>
        <w:t xml:space="preserve">No.</w:t>
      </w:r>
      <w:r xml:space="preserve">
        <w:t> </w:t>
      </w:r>
      <w:r>
        <w:t xml:space="preserve">3374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qualified employee for purposes of the enterprise zone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2303.003(7), Government Code, is amended to read as follows:</w:t>
      </w:r>
    </w:p>
    <w:p w:rsidR="003F3435" w:rsidRDefault="0032493E">
      <w:pPr>
        <w:spacing w:line="480" w:lineRule="auto"/>
        <w:ind w:firstLine="1440"/>
        <w:jc w:val="both"/>
      </w:pPr>
      <w:r>
        <w:t xml:space="preserve">(7)</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rPr>
          <w:u w:val="single"/>
        </w:rPr>
        <w:t xml:space="preserve">is a resident of this state;</w:t>
      </w:r>
    </w:p>
    <w:p w:rsidR="003F3435" w:rsidRDefault="0032493E">
      <w:pPr>
        <w:spacing w:line="480" w:lineRule="auto"/>
        <w:ind w:firstLine="2160"/>
        <w:jc w:val="both"/>
      </w:pPr>
      <w:r>
        <w:rPr>
          <w:u w:val="single"/>
        </w:rPr>
        <w:t xml:space="preserve">(B)</w:t>
      </w:r>
      <w:r xml:space="preserve">
        <w:t> </w:t>
      </w:r>
      <w:r xml:space="preserve">
        <w:t> </w:t>
      </w:r>
      <w:r>
        <w:t xml:space="preserve">works for a qualified business;</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receives wages from the qualified business from which employment taxes are deducted;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performs at least 50 percent of the person's service for the business at the qualified business site, or if the person engages in the transportation of goods or services, the person reports to the qualified business site and resides within 50 miles of the qualified business 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2303, Government Code, is amended by adding Section 2303.499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2303.499.</w:t>
      </w:r>
      <w:r>
        <w:rPr>
          <w:u w:val="single"/>
        </w:rPr>
        <w:t xml:space="preserve"> </w:t>
      </w:r>
      <w:r>
        <w:rPr>
          <w:u w:val="single"/>
        </w:rPr>
        <w:t xml:space="preserve"> </w:t>
      </w:r>
      <w:r>
        <w:rPr>
          <w:u w:val="single"/>
        </w:rPr>
        <w:t xml:space="preserve">CERTAIN REQUIREMENTS WAIVED DURING COVID RELIEF PERIOD.  (a) </w:t>
      </w:r>
      <w:r>
        <w:rPr>
          <w:u w:val="single"/>
        </w:rPr>
        <w:t xml:space="preserve"> </w:t>
      </w:r>
      <w:r>
        <w:rPr>
          <w:u w:val="single"/>
        </w:rPr>
        <w:t xml:space="preserve">In this section, "COVID relief period" means the period beginning March 2, 2020, and ending December 31,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2303.003(7)(D), the requirement that an employee perform at least 50 percent of the person's service for the business at the qualified business site to be a "qualified employee" is waived for an enterprise project with a designation period that includes all or a portion of the COVID relief period, and the waiver under this subsection extends throughout the job retention period for those employees. </w:t>
      </w:r>
      <w:r>
        <w:rPr>
          <w:u w:val="single"/>
        </w:rPr>
        <w:t xml:space="preserve"> </w:t>
      </w:r>
      <w:r>
        <w:rPr>
          <w:u w:val="single"/>
        </w:rPr>
        <w:t xml:space="preserve">This subsection applies only with respect to an employee who is a resident of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31, 2030.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2303.499, Government Code, as added by this Act, applies to any audit by the comptroller of whether an enterprise project is eligible for a tax refund under Section 151.429, Tax Code, that is not finally completed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