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88R11592 JXC-D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Hunter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participation of aggregated distributed energy resources in the ERCOT market.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31.002(17), Utilities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(17)</w:t>
      </w:r>
      <w:r xml:space="preserve">
        <w:t> </w:t>
      </w:r>
      <w:r xml:space="preserve">
        <w:t> </w:t>
      </w:r>
      <w:r>
        <w:t xml:space="preserve">"Retail electric provider" means a person that sells electric energy to retail customers in this state.  A retail electric provider may not own or operate generation assets </w:t>
      </w:r>
      <w:r>
        <w:rPr>
          <w:u w:val="single"/>
        </w:rPr>
        <w:t xml:space="preserve">but may aggregate distributed energy resources</w:t>
      </w:r>
      <w:r>
        <w:t xml:space="preserve">.  The term does not include a person not otherwise a retail electric provider who owns or operates equipment used solely to provide electricity charging service for consumption by an alternatively fueled vehicle, as defined by Section 502.004, Transportation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39.351, Utilities Code, is amended by amending Subsection (a)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person may not generate electricity unless the person is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registered with the commission as a power generation company in accordance with this section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aggregating distributed energy resources under Section 39.3515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 xml:space="preserve">
        <w:t> </w:t>
      </w:r>
      <w:r xml:space="preserve">
        <w:t> </w:t>
      </w:r>
      <w:r>
        <w:t xml:space="preserve">A person may register as a power generation company by filing the following information with the commission: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description of the location of any facility used to generate electricity;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description of the type of services provided;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copy of any information filed with the Federal Energy Regulatory Commission in connection with registration with that commission;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any other information required by commission rule, provided that in requiring that information the commission shall protect the competitive process in a manner that ensures the confidentiality of competitively sensitive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39, Utilities Code, is amended by adding Section 39.3515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39.3515.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AGGREGATED DISTRIBUTED ENERGY RESOURCES.  (a)  A person who aggregates distributed energy resources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comply with rules, guidelines, and registration requirements established by the commission and by Chapter 17 and this chapter that apply to distributed energy resources;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ensure the compliance of a subcontractor, an agent, or any other entity compensated by the person for all distributed energy resource activities conducted on the person's behalf by a subcontractor, agent, or other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establish rules and registration requirements for the aggregation of distributed energy resources.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