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88R9807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3392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certain litigation, law enforcement, corrections, and prosecutorial records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Information relating to litigation involving a governmental body or an officer or employee of a governmental body is excepted from disclosure under Subsection (a) only if the litigation is pending or reasonably anticipated on the date that the requestor applies to the officer for public information for access to or duplication of the information.  </w:t>
      </w:r>
      <w:r>
        <w:rPr>
          <w:u w:val="single"/>
        </w:rPr>
        <w:t xml:space="preserve">For purposes of this section, litigation is considered reasonably anticipated only if a person with an alleged claim, or that person's attorney,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threatened in writing to take legal action against the governmental body;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 written demand for compensation as a result of an alleged claim against the governmental body.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552.108,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described by Subsection (a)(2) or an internal record or notation described by Subsection (b)(2) is not excepted from the requirements of Section 552.021 in response to a written request for the information made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 the subject of the information, record, or notation, or the person's attorney;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described by Subdivision (1) is deceased, the person's spouse, child, or parent, an administrator of the person's estate, or any of their attorneys.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to Sections 552.103 and 552.108, Government Code, apply only to a request for information that is received by a governmental body or an officer or employee of a governmental body on or after the effective date of this Act. A request for information that was received before the effective date of this Act is governed by the law in effect on the date the request was received, and the former law is continued in effect for that purpose.</w:t>
      </w:r>
      <w:r xml:space="preserve">
        <w:t>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