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88R8213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Kitzman,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veterinary chiropractic.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801.151(c),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board shall adopt rules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protect the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ensure that alternate therapies, including ultrasound diagnosis and therapy, magnetic field therapy, holistic medicine, homeopathy, [</w:t>
      </w:r>
      <w:r>
        <w:rPr>
          <w:strike/>
        </w:rPr>
        <w:t xml:space="preserve">chiropractic treatment,</w:t>
      </w:r>
      <w:r>
        <w:t xml:space="preserve">] acupuncture, and laser therapy, are performed only by a veterinarian or under the supervision of a veterinarian;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ensure that equine dentistry is performed only by a veterinarian who is active and in good standing or by a licensed equine dental provider who is active and in good standing under the appropriate level of supervision of a veterinarian who is active and in good standing and who has established a veterinarian-client-patient relationship with the owner or other caretaker of an animal in accordance with Section 801.351;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rPr>
          <w:u w:val="single"/>
        </w:rPr>
        <w:t xml:space="preserve">ensure that chiropractic treatment and musculoskeletal manipulation are performed only 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veterinarian who is active and in good standing;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chiropractor licensed in good standing under Chapter 201 and who is: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certified in good standing by the American Veterinary Chiropractic Association;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acting under the supervision of a veterinarian;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 xml:space="preserve">
        <w:t> </w:t>
      </w:r>
      <w:r>
        <w:t xml:space="preserve">provide for the licensing and regulation of licensed veterinary technicians.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June 1, 2024, the State Board of Veterinary Medical Examiners shall adopt rules necessary to implement Section 801.151(c), Occupations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