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88R9922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establishing a pilot program to provide school district employees assistance with child-care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22, Education Code, is amended by adding Section 22.013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22.013.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CHILD-CARE SERVICES ASSISTANCE PILOT PROGRAM.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"Child-care facility" has the meaning assigned by Section 42.002, Human Resources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"Pilot program" means the child-care services assistance pilot program established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establish the child-care services assistance pilot program to award grants to school districts to provide child-care services for children of district employees.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grant awarded to a school district under the pilot program may be used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a child-care facility on district property;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contract with a child-care facility to provide child-care services for children of district employees;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district employees with stipends to cover all or part of the costs of child-care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criteria for awarding grants to school districts under the pilot program that include criteria based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availability of child-care facilities in a district;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need for child-care services assistance among district employees;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factor the agency determines is necessary and relevant;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practicable, award grants to a representative sample of school districts, including at least: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school district with a student enrollment of 10,000 or more;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school district with a student enrollment of at least 2,500 but less than 10,000;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school district with a student enrollment of more than 1,000 but less than 2,500;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school district with a student enrollment of 1,000 or 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receive a grant under the pilot program, a school district must apply to the agency in the form and manner prescribed by the agency.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September 1, 2024, each school district that received a grant under the pilot program shall submit to the agency a report that includes: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itemized list of each item on which the district spent the grant money;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evaluation of the pilot program by district employees who received child-care services or a stipend under the pilot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1, 2024, the agency shall submit to the legislature a report on the effectiveness of the pilot program, using data reported to the agency under Subsection (f), and 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