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88R3340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3405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repairs made pursuant to a tenant's notice of intent to repair and the refund of a tenant's security deposit.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92.0561(f), Property Code, is amended to read as follows:</w:t>
      </w:r>
    </w:p>
    <w:p w:rsidR="003F3435" w:rsidRDefault="0032493E">
      <w:pPr>
        <w:spacing w:line="480" w:lineRule="auto"/>
        <w:ind w:firstLine="720"/>
        <w:jc w:val="both"/>
      </w:pPr>
      <w:r>
        <w:t xml:space="preserve">(f)</w:t>
      </w:r>
      <w:r xml:space="preserve">
        <w:t> </w:t>
      </w:r>
      <w:r xml:space="preserve">
        <w:t> </w:t>
      </w:r>
      <w:r>
        <w:t xml:space="preserve">Repairs made pursuant to the tenant's notice must be made by </w:t>
      </w:r>
      <w:r>
        <w:rPr>
          <w:u w:val="single"/>
        </w:rPr>
        <w:t xml:space="preserve">an independent</w:t>
      </w:r>
      <w:r>
        <w:t xml:space="preserve"> [</w:t>
      </w:r>
      <w:r>
        <w:rPr>
          <w:strike/>
        </w:rPr>
        <w:t xml:space="preserve">a</w:t>
      </w:r>
      <w:r>
        <w:t xml:space="preserve">] company, contractor, or repairman [</w:t>
      </w:r>
      <w:r>
        <w:rPr>
          <w:strike/>
        </w:rPr>
        <w:t xml:space="preserve">listed in the yellow or business pages of the telephone directory or in the classified advertising section of a newspaper of the local city, county, or adjacent county at the time of the tenant's notice of intent to repair</w:t>
      </w:r>
      <w:r>
        <w:t xml:space="preserve">].  </w:t>
      </w:r>
      <w:r>
        <w:rPr>
          <w:u w:val="single"/>
        </w:rPr>
        <w:t xml:space="preserve">If the rental unit is located in a municipality requiring the company, contractor, or repairman to be licensed, the person or entity performing the repair must be licensed in accordance with the municipality's requirements.</w:t>
      </w:r>
      <w:r>
        <w:t xml:space="preserve">  Unless the landlord and tenant agree otherwise under Subsection (g) [</w:t>
      </w:r>
      <w:r>
        <w:rPr>
          <w:strike/>
        </w:rPr>
        <w:t xml:space="preserve">of this section</w:t>
      </w:r>
      <w:r>
        <w:t xml:space="preserve">], repairs may not be made by the tenant, the tenant's immediate family, the tenant's employer or employees, or a company in which the tenant has an ownership interest.  Repairs may not be made to the foundation or load-bearing structural elements of the building if it contains two or more dwelling units.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92.107, Property Code, is amended to read as follows:</w:t>
      </w:r>
    </w:p>
    <w:p w:rsidR="003F3435" w:rsidRDefault="0032493E">
      <w:pPr>
        <w:spacing w:line="480" w:lineRule="auto"/>
        <w:ind w:firstLine="720"/>
        <w:jc w:val="both"/>
      </w:pPr>
      <w:r>
        <w:t xml:space="preserve">Sec.</w:t>
      </w:r>
      <w:r xml:space="preserve">
        <w:t> </w:t>
      </w:r>
      <w:r>
        <w:t xml:space="preserve">92.107.</w:t>
      </w:r>
      <w:r xml:space="preserve">
        <w:t> </w:t>
      </w:r>
      <w:r xml:space="preserve">
        <w:t> </w:t>
      </w:r>
      <w:r>
        <w:t xml:space="preserve">TENANT'S FORWARDING ADDRESS.  (a)  The landlord is not obligated to return a tenant's security deposit or give the tenant a written description of damages and charges until the tenant </w:t>
      </w:r>
      <w:r>
        <w:rPr>
          <w:u w:val="single"/>
        </w:rPr>
        <w:t xml:space="preserve">provides</w:t>
      </w:r>
      <w:r>
        <w:t xml:space="preserve"> [</w:t>
      </w:r>
      <w:r>
        <w:rPr>
          <w:strike/>
        </w:rPr>
        <w:t xml:space="preserve">gives</w:t>
      </w:r>
      <w:r>
        <w:t xml:space="preserve">]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rPr>
          <w:u w:val="single"/>
        </w:rPr>
        <w:t xml:space="preserve">A tenant may satisfy the requirement of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providing the statement in accordance with the lease;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lease terms,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hand-delivering the statement to the landlord or landlord's property manager if rent has been paid in that manner;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sending the statement to the landlord or landlord's property manager or to an address where the tenant has paid rent under the lease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first class mail;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certified mail, return receipt requested;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registered mail;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other delivery service that provides delivery tracking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tenant who complies with Subsection (b) has satisfied the requirement of Subsection (a), even if the landlord fails to claim or refuses delivery of the written statement of the tenant's forwarding address.</w:t>
      </w:r>
    </w:p>
    <w:p w:rsidR="003F3435" w:rsidRDefault="0032493E">
      <w:pPr>
        <w:spacing w:line="480" w:lineRule="auto"/>
        <w:ind w:firstLine="720"/>
        <w:jc w:val="both"/>
      </w:pPr>
      <w:r>
        <w:rPr>
          <w:u w:val="single"/>
        </w:rPr>
        <w:t xml:space="preserve">(d)</w:t>
      </w:r>
      <w:r xml:space="preserve">
        <w:t> </w:t>
      </w:r>
      <w:r xml:space="preserve">
        <w:t> </w:t>
      </w:r>
      <w:r>
        <w:t xml:space="preserve">The tenant does not forfeit the right to a refund of the security deposit or the right to receive a description of damages and charges merely for failing to give a forwarding address to the landlord.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92.109(d), Property Code, is amended to read as follows:</w:t>
      </w:r>
    </w:p>
    <w:p w:rsidR="003F3435" w:rsidRDefault="0032493E">
      <w:pPr>
        <w:spacing w:line="480" w:lineRule="auto"/>
        <w:ind w:firstLine="720"/>
        <w:jc w:val="both"/>
      </w:pPr>
      <w:r>
        <w:t xml:space="preserve">(d)</w:t>
      </w:r>
      <w:r xml:space="preserve">
        <w:t> </w:t>
      </w:r>
      <w:r xml:space="preserve">
        <w:t> </w:t>
      </w:r>
      <w:r>
        <w:t xml:space="preserve">A landlord </w:t>
      </w:r>
      <w:r>
        <w:rPr>
          <w:u w:val="single"/>
        </w:rPr>
        <w:t xml:space="preserve">is presumed to have acted in bad faith if the landlord</w:t>
      </w:r>
      <w:r>
        <w:t xml:space="preserve"> [</w:t>
      </w:r>
      <w:r>
        <w:rPr>
          <w:strike/>
        </w:rPr>
        <w:t xml:space="preserve">who</w:t>
      </w:r>
      <w:r>
        <w:t xml:space="preserve">] fails either to return a security deposit or to provide a written description and itemization of deductions on or before the 30th day after the date the tenant </w:t>
      </w:r>
      <w:r>
        <w:rPr>
          <w:u w:val="single"/>
        </w:rPr>
        <w:t xml:space="preserve">has both: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surrendered</w:t>
      </w:r>
      <w:r>
        <w:t xml:space="preserve"> [</w:t>
      </w:r>
      <w:r>
        <w:rPr>
          <w:strike/>
        </w:rPr>
        <w:t xml:space="preserve">surrenders</w:t>
      </w:r>
      <w:r>
        <w:t xml:space="preserve">] possession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satisfied the requirement of Section 92.107(a)</w:t>
      </w:r>
      <w:r>
        <w:t xml:space="preserve"> [</w:t>
      </w:r>
      <w:r>
        <w:rPr>
          <w:strike/>
        </w:rPr>
        <w:t xml:space="preserve">is presumed to have acted in bad faith</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94.107, Property Code, is amended to read as follows:</w:t>
      </w:r>
    </w:p>
    <w:p w:rsidR="003F3435" w:rsidRDefault="0032493E">
      <w:pPr>
        <w:spacing w:line="480" w:lineRule="auto"/>
        <w:ind w:firstLine="720"/>
        <w:jc w:val="both"/>
      </w:pPr>
      <w:r>
        <w:t xml:space="preserve">Sec.</w:t>
      </w:r>
      <w:r xml:space="preserve">
        <w:t> </w:t>
      </w:r>
      <w:r>
        <w:t xml:space="preserve">94.107.</w:t>
      </w:r>
      <w:r xml:space="preserve">
        <w:t> </w:t>
      </w:r>
      <w:r xml:space="preserve">
        <w:t> </w:t>
      </w:r>
      <w:r>
        <w:t xml:space="preserve">TENANT'S FORWARDING ADDRESS.  (a)  A landlord is not obligated to return a tenant's security deposit or give the tenant a written description of damages and charges until the tenant </w:t>
      </w:r>
      <w:r>
        <w:rPr>
          <w:u w:val="single"/>
        </w:rPr>
        <w:t xml:space="preserve">provides</w:t>
      </w:r>
      <w:r>
        <w:t xml:space="preserve"> [</w:t>
      </w:r>
      <w:r>
        <w:rPr>
          <w:strike/>
        </w:rPr>
        <w:t xml:space="preserve">gives</w:t>
      </w:r>
      <w:r>
        <w:t xml:space="preserve">]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rPr>
          <w:u w:val="single"/>
        </w:rPr>
        <w:t xml:space="preserve">A tenant may satisfy the requirement of Subsection (a):</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providing the statement in accordance with the lease;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the lease terms,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hand-delivering the statement to the landlord or landlord's property manager if rent has been paid in that manner;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sending a statement to the landlord or landlord's property manager or to an address where the tenant has paid rent under the lease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first class mail;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certified mail, return receipt requested;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registered mail;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other delivery service that provides delivery tracking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tenant who complies with Subsection (b) has satisfied the requirement of Subsection (a), even if the landlord fails to claim or refuses delivery of the written statement of the tenant's forwarding address.</w:t>
      </w:r>
      <w:r>
        <w:t xml:space="preserve"> </w:t>
      </w:r>
    </w:p>
    <w:p w:rsidR="003F3435" w:rsidRDefault="0032493E">
      <w:pPr>
        <w:spacing w:line="480" w:lineRule="auto"/>
        <w:ind w:firstLine="720"/>
        <w:jc w:val="both"/>
      </w:pPr>
      <w:r>
        <w:rPr>
          <w:u w:val="single"/>
        </w:rPr>
        <w:t xml:space="preserve">(d)</w:t>
      </w:r>
      <w:r xml:space="preserve">
        <w:t> </w:t>
      </w:r>
      <w:r xml:space="preserve">
        <w:t> </w:t>
      </w:r>
      <w:r>
        <w:t xml:space="preserve">The tenant does not forfeit the right to a refund of the security deposit or the right to receive a description of damages and charges merely for failing to give a forwarding address to the landlord.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94.109(d), Property Code, is amended to read as follows:</w:t>
      </w:r>
    </w:p>
    <w:p w:rsidR="003F3435" w:rsidRDefault="0032493E">
      <w:pPr>
        <w:spacing w:line="480" w:lineRule="auto"/>
        <w:ind w:firstLine="720"/>
        <w:jc w:val="both"/>
      </w:pPr>
      <w:r>
        <w:t xml:space="preserve">(d)</w:t>
      </w:r>
      <w:r xml:space="preserve">
        <w:t> </w:t>
      </w:r>
      <w:r xml:space="preserve">
        <w:t> </w:t>
      </w:r>
      <w:r>
        <w:t xml:space="preserve">A landlord </w:t>
      </w:r>
      <w:r>
        <w:rPr>
          <w:u w:val="single"/>
        </w:rPr>
        <w:t xml:space="preserve">is presumed to have acted in bad faith if the landlord</w:t>
      </w:r>
      <w:r>
        <w:t xml:space="preserve"> [</w:t>
      </w:r>
      <w:r>
        <w:rPr>
          <w:strike/>
        </w:rPr>
        <w:t xml:space="preserve">who</w:t>
      </w:r>
      <w:r>
        <w:t xml:space="preserve">] fails either to return a security deposit or to provide a written description and itemization of deductions on or before the 30th day after the date the tenant </w:t>
      </w:r>
      <w:r>
        <w:rPr>
          <w:u w:val="single"/>
        </w:rPr>
        <w:t xml:space="preserve">has both: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surrendered</w:t>
      </w:r>
      <w:r>
        <w:t xml:space="preserve"> [</w:t>
      </w:r>
      <w:r>
        <w:rPr>
          <w:strike/>
        </w:rPr>
        <w:t xml:space="preserve">surrenders</w:t>
      </w:r>
      <w:r>
        <w:t xml:space="preserve">] possession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satisfied the requirement of Section 94.107(a)</w:t>
      </w:r>
      <w:r>
        <w:t xml:space="preserve"> [</w:t>
      </w:r>
      <w:r>
        <w:rPr>
          <w:strike/>
        </w:rPr>
        <w:t xml:space="preserve">is presumed to have acted in bad faith</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94.157(g), Property Code, is amended to read as follows:</w:t>
      </w:r>
    </w:p>
    <w:p w:rsidR="003F3435" w:rsidRDefault="0032493E">
      <w:pPr>
        <w:spacing w:line="480" w:lineRule="auto"/>
        <w:ind w:firstLine="720"/>
        <w:jc w:val="both"/>
      </w:pPr>
      <w:r>
        <w:t xml:space="preserve">(g)</w:t>
      </w:r>
      <w:r xml:space="preserve">
        <w:t> </w:t>
      </w:r>
      <w:r xml:space="preserve">
        <w:t> </w:t>
      </w:r>
      <w:r>
        <w:t xml:space="preserve">Repairs made based on a tenant's notice must be made by </w:t>
      </w:r>
      <w:r>
        <w:rPr>
          <w:u w:val="single"/>
        </w:rPr>
        <w:t xml:space="preserve">an independent</w:t>
      </w:r>
      <w:r>
        <w:t xml:space="preserve"> [</w:t>
      </w:r>
      <w:r>
        <w:rPr>
          <w:strike/>
        </w:rPr>
        <w:t xml:space="preserve">a</w:t>
      </w:r>
      <w:r>
        <w:t xml:space="preserve">] company, contractor, or repairman [</w:t>
      </w:r>
      <w:r>
        <w:rPr>
          <w:strike/>
        </w:rPr>
        <w:t xml:space="preserve">listed at the time of the tenant's notice of intent to repair in the yellow or business pages of the telephone directory or in the classified advertising section of a newspaper of the municipality or county in which the manufactured home community is located or in an adjacent county</w:t>
      </w:r>
      <w:r>
        <w:t xml:space="preserve">].  </w:t>
      </w:r>
      <w:r>
        <w:rPr>
          <w:u w:val="single"/>
        </w:rPr>
        <w:t xml:space="preserve">If the rental unit is located in a municipality requiring the company, contractor, or repairman to be licensed, the person or entity performing the repair must be licensed in accordance with the municipality's requirements.</w:t>
      </w:r>
      <w:r>
        <w:t xml:space="preserve">  Unless the landlord and tenant agree otherwise under Subsection (i), repairs may not be made by the tenant, the tenant's immediate family, the tenant's employer or employees, or a company in which the tenant has an ownership interest.  Repairs may not be made to the foundation or load-bearing structural elements of the manufactured home lot.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lease entered into or renewed on or after the effective date of this Act. A lease entered into or renewed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