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88R11687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workers' compensation insurance coverage and bid bonding requirements for small municipal construction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WORKERS' COMPENSATION AND BID BONDING REQUIREMENTS FOR SMALL MUNICIPAL CONSTRUCTION PROJECTS.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"project"</w:t>
      </w:r>
      <w:r>
        <w:rPr>
          <w:u w:val="single"/>
        </w:rPr>
        <w:t xml:space="preserve"> </w:t>
      </w:r>
      <w:r>
        <w:rPr>
          <w:u w:val="single"/>
        </w:rPr>
        <w:t xml:space="preserve">includes all work to be completed on a construction project for a municipality at one location within 12 months of the date the work begins.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for a construction project contracted for an amount that is less than one percent of the total amount of a municipality's most recently adopted budget, the municipality is not required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the contractor is covered by workers' compensation insurance coverage;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contractor to obtain a performance bond.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 determining the contracted amount of a construction project under Subsection (b), a municipality may not aggregate work from more than one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