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88R9270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commercial automobile insurance for responsible master plumbers.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1301.3576,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1301.3576.</w:t>
      </w:r>
      <w:r xml:space="preserve">
        <w:t> </w:t>
      </w:r>
      <w:r xml:space="preserve">
        <w:t> </w:t>
      </w:r>
      <w:r>
        <w:t xml:space="preserve">CERTIFICATE OF INSURANCE FOR RESPONSIBLE MASTER PLUMBER.  Before a master plumber works as a responsible master plumber, the master plumber must provide the board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certificate of insurance that meets the requirements of Section 1301.552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certificate of insurance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written by an insurer authorized to engage in the business of insurance in this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for commercial automobile insurance for the responsible master plumber that provides liability coverage for a claim for property damage or bodily injury or death in an amount of not less than $500,000 per incident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State Board of Plumbing Examiners shall adopt rules necessary to implement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Section 1301.3576, Occupations Code, as amended by this Act, a responsible master plumber must comply with that section, as amended, not later than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