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88R3618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release of a motor vehicle title to a dealer after the discharge of a 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Transportation Code, is amended by adding Section 501.0237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501.0237.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ISSUANCE OF TITLE TO DEALER ON DISCHARGE OF LIEN.  (a) </w:t>
      </w:r>
      <w:r>
        <w:rPr>
          <w:u w:val="single"/>
        </w:rPr>
        <w:t xml:space="preserve"> </w:t>
      </w:r>
      <w:r>
        <w:rPr>
          <w:u w:val="single"/>
        </w:rPr>
        <w:t xml:space="preserve">A dealer who is unable to obtain a title for a motor vehicle from a lienholder after the discharge of a lien under Section 501.115(a) may apply to the department for a title in the dealer's name for resale purposes not earlier than the 20th day after the date the debt or claim secured by the lien is fully paid.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under Subsection (a)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of full payment of the lien in the form of a release of lien, proof of payment, electronic funds transfer, or other sufficient evidence acceptable to the department;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of ownership transfer from the previous recorded owner to the dealer;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vehicle is subject to odometer disclosure under Section 501.072, an odometer disclosure statement on a secure power of attorney 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department issues a title to a dealer under Subsection (a), the dealer assumes liability for any outstanding balance due to a lienholder on the motor vehicle and the lienholder may exercise any available legal remedy to collect the outstanding balance.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title issued to a dealer by the department under Subsection (a) is later rescinded, canceled, or revoked under Section 501.051, the department may revalidate a previously superseded or invalidated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