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3413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limitations on use of certain pharmacy benefit managers.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4151, Insurance Code, is amended by adding Section 4151.155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4151.155.</w:t>
      </w:r>
      <w:r>
        <w:rPr>
          <w:u w:val="single"/>
        </w:rPr>
        <w:t xml:space="preserve"> </w:t>
      </w:r>
      <w:r>
        <w:rPr>
          <w:u w:val="single"/>
        </w:rPr>
        <w:t xml:space="preserve"> </w:t>
      </w:r>
      <w:r>
        <w:rPr>
          <w:u w:val="single"/>
        </w:rPr>
        <w:t xml:space="preserve">PROHIBITION ON REQUIRING THE USE OF CERTAIN PHARMACY BENEFIT MANAGERS.  (a)  If a health benefit plan has an ownership or investment interest (which may be through equity, debt, or other means) in a pharmacy benefit manager, then the health benefit plan may not require the use of such pharmacy benefit manager for the administering of pharmacy benefit services offered under, or in conjunction with, the health benefit plan.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4151, Insurance Code is amended by adding Sec. 4151.156, Insurance Code,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4151.156.</w:t>
      </w:r>
      <w:r>
        <w:rPr>
          <w:u w:val="single"/>
        </w:rPr>
        <w:t xml:space="preserve"> </w:t>
      </w:r>
      <w:r>
        <w:rPr>
          <w:u w:val="single"/>
        </w:rPr>
        <w:t xml:space="preserve"> </w:t>
      </w:r>
      <w:r>
        <w:rPr>
          <w:u w:val="single"/>
        </w:rPr>
        <w:t xml:space="preserve">APPLICABILITY OF SECTION.  (a)  Section 4151.155 of this subchapter applies only to a health benefit plan that provides benefits for medical or surgical expenses incurred as a result of a health condition, accident, or sickness, including individual, group, blanket, or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operation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regional or local health care program operating under Section 75.104, Health and Safety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coverage plan under Chapter 1579;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4151.155 and 4151.156, Subchapter D, Chapter 4151, Insurance Code as added by this Act, apply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