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Springer)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3419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transportation of horse meat.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149.004(4), Agriculture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