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88R12865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3429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justice courts by legal aid offices or other providers of pro bono legal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27, Government Code, is amended by adding Section 27.007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27.007.</w:t>
      </w:r>
      <w:r>
        <w:rPr>
          <w:u w:val="single"/>
        </w:rPr>
        <w:t xml:space="preserve"> </w:t>
      </w:r>
      <w:r>
        <w:rPr>
          <w:u w:val="single"/>
        </w:rPr>
        <w:t xml:space="preserve"> </w:t>
      </w:r>
      <w:r>
        <w:rPr>
          <w:u w:val="single"/>
        </w:rPr>
        <w:t xml:space="preserve">ACCESS TO JUSTICE COURTS FOR PROVISION OF PRO BONO LEGAL SERVICES.  On request of a legal aid office or other provider of pro bono legal services, each justice of the peace shall permit one or more representatives of the office or provider to be present in the justice court, including during in-person or remote proceedings, to conduct intakes or provide information, referrals, or other legal services to eligible litigants.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38.12, Penal Code, is amended by adding Subsection (h-1) to read as follows:</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It is a defense to prosecution under Subsection (d) that the attorney is engaged in conduct authorized under Section 27.007,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