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88R12343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air quality permits for certain facilities located in a nonattainment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382.0518, Health and Safety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the construction or major modification of a facility that is a major stationary source and is located or proposed to be located in an area designated as a nonattainment area under the federal Clean Air Act (42 U.S.C. Section 7401 et seq.).  In making its finding under Subsection (b)(2) as to whether emissions from the facility will contravene the intent of this chapter,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analysis of alternative locations, sizes, production processes, and environmental control techniques for the facility that demonstrates that the benefits of the facility significantly outweigh the environmental and social costs imposed as a result of the facility's location, construction, or modification;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conducting the analysis required under Subdivision (1), consider the cumulative impacts that would result from the issuance of the permit without changes to the site location, size, production processes, and environmental control techniques.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(b-1), "major stationary source" and "major modification" have the meanings assigned by 40 C.F.R. Section 51.165, as that section existed on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issuance or amendment of a permit for which an application is pending before the Texas Commission on Environmental Quality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