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88R19798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3437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3437:</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3437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contracts for the construction, repair, and renovation of water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49.273(i), Water Code, is amended to read as follows:</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 </w:t>
      </w:r>
      <w:r>
        <w:t xml:space="preserve"> </w:t>
      </w:r>
      <w:r>
        <w:t xml:space="preserve">The board may grant authority to an official or employee responsible for purchasing or for administering a contract to approve a change order that involves an increase or decrease of </w:t>
      </w:r>
      <w:r>
        <w:rPr>
          <w:u w:val="single"/>
        </w:rPr>
        <w:t xml:space="preserve">$150,000</w:t>
      </w:r>
      <w:r>
        <w:t xml:space="preserve"> </w:t>
      </w:r>
      <w:r>
        <w:t xml:space="preserve">[</w:t>
      </w:r>
      <w:r>
        <w:rPr>
          <w:strike/>
        </w:rPr>
        <w:t xml:space="preserve">$50,000</w:t>
      </w:r>
      <w:r>
        <w:t xml:space="preserve">] or less. </w:t>
      </w:r>
      <w:r>
        <w:t xml:space="preserve">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 </w:t>
      </w:r>
      <w:r>
        <w:t xml:space="preserve"> </w:t>
      </w:r>
      <w:r>
        <w:t xml:space="preserve">A change order is not subject to the requirements of Subsection (d) or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