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governmental bodies required to post on the Internet agendas for meetings under the open meetings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other place at which notice </w:t>
      </w:r>
      <w:r>
        <w:rPr>
          <w:u w:val="single"/>
        </w:rPr>
        <w:t xml:space="preserve">or an agenda of a meeting</w:t>
      </w:r>
      <w:r>
        <w:t xml:space="preserve"> is required to be posted by this subchapter, the following governmental bodies and economic development corporations must also concurrently post notice of a meeting </w:t>
      </w:r>
      <w:r>
        <w:rPr>
          <w:u w:val="single"/>
        </w:rPr>
        <w:t xml:space="preserve">and the agenda for the meeting</w:t>
      </w:r>
      <w:r>
        <w:t xml:space="preserve"> on the Internet website of the governmental body or economic development corporation: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school district;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governing body of a junior college or junior college district, including a college or district that has changed its name in accordance with Chapter 130,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development corporation organized under the Development Corporation Act (Subtitle C1, Title 12, Local Government Code);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regional mobility authority included within the meaning of an "authority" as defined by Section 370.003, Transportation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or authority created under Section 52, Article III, or Section 59, Article XVI, Texas Constitution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551.056(c),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551.056(b), Government Code, as amended by this Act, applies only to an open meeting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3440 was passed by the House on May 9, 2023, by the following vote:</w:t>
      </w:r>
      <w:r xml:space="preserve">
        <w:t> </w:t>
      </w:r>
      <w:r xml:space="preserve">
        <w:t> </w:t>
      </w:r>
      <w:r>
        <w:t xml:space="preserve">Yeas 139, Nays 3, 2 present, not voting; that the House refused to concur in Senate amendments to H.B. No. 3440 on May 25, 2023, and requested the appointment of a conference committee to consider the differences between the two houses; and that the House adopted the conference committee report on H.B. No. 3440 on May 28, 2023, by the following vote:</w:t>
      </w:r>
      <w:r xml:space="preserve">
        <w:t> </w:t>
      </w:r>
      <w:r xml:space="preserve">
        <w:t> </w:t>
      </w:r>
      <w:r>
        <w:t xml:space="preserve">Yeas 140,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3440 was passed by the Senate, with amendments, on May 22, 2023, by the following vote:</w:t>
      </w:r>
      <w:r xml:space="preserve">
        <w:t> </w:t>
      </w:r>
      <w:r xml:space="preserve">
        <w:t> </w:t>
      </w:r>
      <w:r>
        <w:t xml:space="preserve">Yeas 31, Nays 0; at the request of the House, the Senate appointed a conference committee to consider the differences between the two houses; and that the Senate adopted the conference committee report on H.B. No. 3440 on May 28, 2023,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