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88R9293 TJB-D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Canales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3440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governmental bodies required to post on the Internet agendas for meetings under the open meetings law.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551.056(b),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In addition to the other place at which notice </w:t>
      </w:r>
      <w:r>
        <w:rPr>
          <w:u w:val="single"/>
        </w:rPr>
        <w:t xml:space="preserve">or an agenda of a meeting</w:t>
      </w:r>
      <w:r>
        <w:t xml:space="preserve"> is required to be posted by this subchapter, the following governmental bodies and economic development corporations must also concurrently post notice of a meeting </w:t>
      </w:r>
      <w:r>
        <w:rPr>
          <w:u w:val="single"/>
        </w:rPr>
        <w:t xml:space="preserve">and the agenda for the meeting</w:t>
      </w:r>
      <w:r>
        <w:t xml:space="preserve"> on the Internet website of the governmental body or economic development corporation: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municipality;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county;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school district;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the governing body of a junior college or junior college district, including a college or district that has changed its name in accordance with Chapter 130, Education Code;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a development corporation organized under the Development Corporation Act (Subtitle C1, Title 12, Local Government Code);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a regional mobility authority included within the meaning of an "authority" as defined by Section 370.003, Transportation Code;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a joint board created under Section 22.074, Transportation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551.056(c), Government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551.056(b), Government Code, as amended by this Act, applies only to an open meeting held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3440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