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3440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2023; May</w:t>
      </w:r>
      <w:r xml:space="preserve">
        <w:t> </w:t>
      </w:r>
      <w:r>
        <w:t xml:space="preserve">11,</w:t>
      </w:r>
      <w:r xml:space="preserve">
        <w:t> </w:t>
      </w:r>
      <w:r>
        <w:t xml:space="preserve">2023, read first time and referred to Committee on Business &amp; Commerce; May</w:t>
      </w:r>
      <w:r xml:space="preserve">
        <w:t> </w:t>
      </w:r>
      <w:r>
        <w:t xml:space="preserve">21,</w:t>
      </w:r>
      <w:r xml:space="preserve">
        <w:t> </w:t>
      </w:r>
      <w:r>
        <w:t xml:space="preserve">2023, reported adversely, with favorable Committee Substitute by the following vote:</w:t>
      </w:r>
      <w:r>
        <w:t xml:space="preserve"> </w:t>
      </w:r>
      <w:r>
        <w:t xml:space="preserve"> </w:t>
      </w:r>
      <w:r>
        <w:t xml:space="preserve">Yeas 10, Nays 0; May</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3440</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posting and other requirements applicable to certain governmental bodies under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551.056,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the other place at which notice </w:t>
      </w:r>
      <w:r>
        <w:rPr>
          <w:u w:val="single"/>
        </w:rPr>
        <w:t xml:space="preserve">or an agenda of a meeting</w:t>
      </w:r>
      <w:r>
        <w:t xml:space="preserve"> is required to be posted by this subchapter, the following governmental bodies and economic development corporations must also concurrently post notice of a meeting </w:t>
      </w:r>
      <w:r>
        <w:rPr>
          <w:u w:val="single"/>
        </w:rPr>
        <w:t xml:space="preserve">and the agenda for the meeting, along with any supplemental written materials provided to the members of the governmental body or economic development corporation in advance of the meeting for use during the meeting,</w:t>
      </w:r>
      <w:r>
        <w:t xml:space="preserve"> on the Internet website of the governmental body or economic development corporation:</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school district;</w:t>
      </w:r>
    </w:p>
    <w:p w:rsidR="003F3435" w:rsidRDefault="0032493E">
      <w:pPr>
        <w:spacing w:line="480" w:lineRule="auto"/>
        <w:ind w:firstLine="1440"/>
        <w:jc w:val="both"/>
      </w:pPr>
      <w:r>
        <w:t xml:space="preserve">(4)</w:t>
      </w:r>
      <w:r xml:space="preserve">
        <w:t> </w:t>
      </w:r>
      <w:r xml:space="preserve">
        <w:t> </w:t>
      </w:r>
      <w:r>
        <w:t xml:space="preserve">the governing body of a junior college or junior college district, including a college or district that has changed its name in accordance with Chapter 130, Education Code;</w:t>
      </w:r>
    </w:p>
    <w:p w:rsidR="003F3435" w:rsidRDefault="0032493E">
      <w:pPr>
        <w:spacing w:line="480" w:lineRule="auto"/>
        <w:ind w:firstLine="1440"/>
        <w:jc w:val="both"/>
      </w:pPr>
      <w:r>
        <w:t xml:space="preserve">(5)</w:t>
      </w:r>
      <w:r xml:space="preserve">
        <w:t> </w:t>
      </w:r>
      <w:r xml:space="preserve">
        <w:t> </w:t>
      </w:r>
      <w:r>
        <w:t xml:space="preserve">a development corporation organized under the Development Corporation Act (Subtitle C1, Title 12, Local Government Code);</w:t>
      </w:r>
    </w:p>
    <w:p w:rsidR="003F3435" w:rsidRDefault="0032493E">
      <w:pPr>
        <w:spacing w:line="480" w:lineRule="auto"/>
        <w:ind w:firstLine="1440"/>
        <w:jc w:val="both"/>
      </w:pPr>
      <w:r>
        <w:t xml:space="preserve">(6)</w:t>
      </w:r>
      <w:r xml:space="preserve">
        <w:t> </w:t>
      </w:r>
      <w:r xml:space="preserve">
        <w:t> </w:t>
      </w:r>
      <w:r>
        <w:t xml:space="preserve">a regional mobility authority included within the meaning of an "authority" as defined by Section 370.003, Transportation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district or authority created under Section 52, Article III, or Section 59, Article XVI, Texas Constitution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governmental body or economic development corporation is not required to post information under Subsection (b) that is confidential or that may be withheld from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551.056(c),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open meeting held on or after the effective date of this Act.  An open meeting held before the effective date of this Act is governed by the law in effect on the date the meeting was held,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