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88R12350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3448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public elementary or secondary school has a poster or framed copy of the Ten Commandments in each classroom that does not meet the requirements of Subsection (b), the school may replace the posters or copies with posters or copies that meet the requirements of Subsection (b) using public funds or by accepting a private donation.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elementary or secondary school must offer a poster or framed copy of the Ten Commandments described by Subsection (a) in the school's possession that is not needed for display in a classroom as a donation to another public elementary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