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88R13326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county election precincts.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42.006(a) and (b), Election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otherwise provided by this section, a county election precinct must contain at least </w:t>
      </w:r>
      <w:r>
        <w:rPr>
          <w:u w:val="single"/>
        </w:rPr>
        <w:t xml:space="preserve">500</w:t>
      </w:r>
      <w:r>
        <w:t xml:space="preserve"> [</w:t>
      </w:r>
      <w:r>
        <w:rPr>
          <w:strike/>
        </w:rPr>
        <w:t xml:space="preserve">100</w:t>
      </w:r>
      <w:r>
        <w:t xml:space="preserve">] but not more than </w:t>
      </w:r>
      <w:r>
        <w:rPr>
          <w:u w:val="single"/>
        </w:rPr>
        <w:t xml:space="preserve">10,000</w:t>
      </w:r>
      <w:r>
        <w:t xml:space="preserve"> [</w:t>
      </w:r>
      <w:r>
        <w:rPr>
          <w:strike/>
        </w:rPr>
        <w:t xml:space="preserve">5,000</w:t>
      </w:r>
      <w:r>
        <w:t xml:space="preserve">] registered voters.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an election precinct in a county with a population under 100,000, </w:t>
      </w:r>
      <w:r>
        <w:rPr>
          <w:u w:val="single"/>
        </w:rPr>
        <w:t xml:space="preserve">the maximum number of registered voters the precinct may contain is 5,000, and</w:t>
      </w:r>
      <w:r>
        <w:t xml:space="preserve"> </w:t>
      </w:r>
      <w:r>
        <w:t xml:space="preserve">the minimum number of registered voters the precinct may contain is 50, except as provided by Subsection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42.031,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42.031.</w:t>
      </w:r>
      <w:r xml:space="preserve">
        <w:t> </w:t>
      </w:r>
      <w:r xml:space="preserve">
        <w:t> </w:t>
      </w:r>
      <w:r>
        <w:t xml:space="preserve">REVIEWING PRECINCTS FOR COMPLIANCE:  BOUNDARY CHANGES.  (a)  </w:t>
      </w:r>
      <w:r>
        <w:rPr>
          <w:u w:val="single"/>
        </w:rPr>
        <w:t xml:space="preserve">Not later than September 15</w:t>
      </w:r>
      <w:r>
        <w:t xml:space="preserve"> [</w:t>
      </w:r>
      <w:r>
        <w:rPr>
          <w:strike/>
        </w:rPr>
        <w:t xml:space="preserve">During March or April</w:t>
      </w:r>
      <w:r>
        <w:t xml:space="preserve">] of each odd-numbered year, each commissioners court shall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determine whether the county election precincts comply with </w:t>
      </w:r>
      <w:r>
        <w:rPr>
          <w:u w:val="single"/>
        </w:rPr>
        <w:t xml:space="preserve">the requirements of this 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Sections 42.005, 42.006, and 42.007.  The commissioners court may make that determination during March or April of an even-numbered year.  Before May 1 of the year in which the determination is made, the commissioners court shall</w:t>
      </w:r>
      <w:r>
        <w:t xml:space="preserve">] order the boundary changes necessary for compliance.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may order a boundary change </w:t>
      </w:r>
      <w:r>
        <w:rPr>
          <w:u w:val="single"/>
        </w:rPr>
        <w:t xml:space="preserve">at any time if</w:t>
      </w:r>
      <w:r>
        <w:t xml:space="preserve"> [</w:t>
      </w:r>
      <w:r>
        <w:rPr>
          <w:strike/>
        </w:rPr>
        <w:t xml:space="preserve">only during March or April unless</w:t>
      </w:r>
      <w:r>
        <w:t xml:space="preserve">] the change is necessary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comply with Section 42.005 or 42.032;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reduce the number of registered voters in a precinct so it does not exceed the maximum number permitted by Section 42.006;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include within a precinct a suitable building available for use as a polling place if no suitable building is available for that purpose within the existing precinct boundary.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42.007, Election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