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88R10374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3454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to school districts of certain excess funds appropriated for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48.282.</w:t>
      </w:r>
      <w:r>
        <w:rPr>
          <w:u w:val="single"/>
        </w:rPr>
        <w:t xml:space="preserve"> </w:t>
      </w:r>
      <w:r>
        <w:rPr>
          <w:u w:val="single"/>
        </w:rPr>
        <w:t xml:space="preserve"> </w:t>
      </w:r>
      <w:r>
        <w:rPr>
          <w:u w:val="single"/>
        </w:rPr>
        <w:t xml:space="preserve">DISTRIBUTION OF EXCESS FUNDS.  Notwithstanding any other provision of law, not later than September 1 of any year following a school year in which the commissioner determines that the amount appropriated for purposes of the Foundation School Program exceeded the amount to which school districts were entitled under this chapter,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Legislative Budget Board of the excess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the excess funds, less the amount required to comply with Section 48.265, as determined by the commissioner, to each school district in an equal amount per student in weighted average daily attendance for the previous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