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3456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298A.004,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298A.004.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298A.153(d),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298B.004,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298B.004.</w:t>
      </w:r>
      <w:r xml:space="preserve">
        <w:t> </w:t>
      </w:r>
      <w:r xml:space="preserve">
        <w:t> </w:t>
      </w:r>
      <w:r>
        <w:t xml:space="preserve">EXPIRATION OF AUTHORITY.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Sections 298B.153(d) and 298B.154,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affect the authority of the district to require and collect a mandatory payment under Section 298B.154 after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2025</w:t>
      </w:r>
      <w:r>
        <w:t xml:space="preserve">], if necessary.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298E.004,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298E.004.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298E.153(d), the authority of a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298F.004,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298F.004.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298F.153(d),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298G.004,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298G.004.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298G.153(d), the authority of the district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299.004,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299.004.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(a) </w:t>
      </w:r>
      <w:r>
        <w:t xml:space="preserve"> </w:t>
      </w:r>
      <w:r>
        <w:t xml:space="preserve">Subject to Section 299.153(d), the authority of the district to administer and operate a program under 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expires December 31, </w:t>
      </w:r>
      <w:r>
        <w:rPr>
          <w:u w:val="single"/>
        </w:rPr>
        <w:t xml:space="preserve">2025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3456 was passed by the House on May 2, 2023, by the following vote:</w:t>
      </w:r>
      <w:r xml:space="preserve">
        <w:t> </w:t>
      </w:r>
      <w:r xml:space="preserve">
        <w:t> </w:t>
      </w:r>
      <w:r>
        <w:t xml:space="preserve">Yeas 121, Nays 24, 1 present, not voting; and that the House concurred in Senate amendments to H.B. No. 3456 on May 26, 2023, by the following vote:</w:t>
      </w:r>
      <w:r xml:space="preserve">
        <w:t> </w:t>
      </w:r>
      <w:r xml:space="preserve">
        <w:t> </w:t>
      </w:r>
      <w:r>
        <w:t xml:space="preserve">Yeas 118, Nays 15,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3456 was passed by the Senate, with amendments, on May 23,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