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Hinojosa)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Health &amp; Human Services;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3456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continuation of certain health care provider participation programs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298A.004,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298A.004.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298A.153(d),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298B.004,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298B.004.</w:t>
      </w:r>
      <w:r xml:space="preserve">
        <w:t> </w:t>
      </w:r>
      <w:r xml:space="preserve">
        <w:t> </w:t>
      </w:r>
      <w:r>
        <w:t xml:space="preserve">EXPIRATION OF AUTHORITY.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Sections 298B.153(d) and 298B.154,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affect the authority of the district to require and collect a mandatory payment under Section 298B.154 after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], if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298F.004,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298F.004.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298F.153(d),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298G.004,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298G.004.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298G.153(d),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299.004,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299.004.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299.153(d), the authority of the district to administer and operate a program under 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