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88R9373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3475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exemptions from COVID-19 vaccine requirements and vaccination status discrimination.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161, Health and Safety Code, is amended by adding Section 161.0086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161.0086.</w:t>
      </w:r>
      <w:r>
        <w:rPr>
          <w:u w:val="single"/>
        </w:rPr>
        <w:t xml:space="preserve"> </w:t>
      </w:r>
      <w:r>
        <w:rPr>
          <w:u w:val="single"/>
        </w:rPr>
        <w:t xml:space="preserve"> </w:t>
      </w:r>
      <w:r>
        <w:rPr>
          <w:u w:val="single"/>
        </w:rPr>
        <w:t xml:space="preserve">EXEMPTIONS FROM COVID-19 VACCINE REQUIREMENTS.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"Employer," "employment agency," and "labor organization" have the meanings assigned by Section 21.002, Labor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 health care entity that provides care to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immunocompromised;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medically fragile;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care to individuals who are not eligible to be vaccinated against COVID-19.</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law, policy, or other measure requiring an individual in this state to be vaccinated against COVID-19 to enter or gain access to, receive a service from, or be employed by an establishment must allow the individual to claim an exemption from the vaccination requirement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individual's acquired immunity against COVID-19 through post-transmission recovery;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medical condition;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reasons of conscience, including a religious belief.</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establishment that fails to comply with Subsection (c) is not eligible to receive a grant or enter into a contract payable with state money.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employer commits an unlawful employment practice for purposes of Chapter 21, Labor Code, if the employer fails or refuses to hire, discharges, or otherwise discriminates against an individual with respect to the compensation or the terms, conditions, or privileges of employment because the individual claims an exemption described by Subsection (c) and is subject to enforcement in the manner provided by Subchapter F of that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labor organization commits an unlawful employment practice for purposes of Chapter 21, Labor Code, if the labor organization excludes or expels from membership or otherwise discriminates against an individual because the individual claims an exemption described by Subsection (c) and is subject to enforcement in the manner provided by Subchapter F of that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employment agency commits an unlawful employment practice for purposes of Chapter 21, Labor Code, if the employment agency classifies or refers for employment, fails or refuses to refer for employment, or otherwise discriminates against an individual because the individual claims an exemption described by Subsection (c) and is subject to enforcement in the manner provided by Subchapter F of that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161.0086, Health and Safety Code, as added by this Act, applies only to conduct or an unlawful employment practice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