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88R14109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overdose mapping by a local health authority or a law enforcement agency for public safety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370, Local Government Code, is amended by adding Section 370.007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370.007.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PARTICIPATION AGREEMENT FOR OVERDOSE MAPPING.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"Controlled substance" has the meaning assigned by Section 481.002,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"Opioid antagonist" has the meaning assigned by Section 483.101,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health authority or a law enforcement agency located in a county with a population of more than 2 million may enter into a participation agreement with an entity that maintains a computerized system for mapping overdoses for public safety purposes.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health authority or law enforcement agency that has entered into a participation agreement under Subsection (b)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solicit and accept information regarding overdoses occurring in the county;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information described by Subdivision (1) to the entity with which the authority or agency has a participation agreement under Subsection (b) for purposes of entering the information into the computerized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following information regarding an overdose incident, if known, must be entered into the computerized system: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and time of the overdose incident;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GPS coordinates or approximate location of the overdose incident;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suspected controlled substance involved in the overdose incident;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an opioid antagonist was administered and, if so, the number of doses and type of delivery;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person who overdosed was transported to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overdose involved the operation of a motor vehicle;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multiple persons were involved in the overdose incident;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sex and approximate age of each person receiving treatment for an overdose;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overdose was fatal or nonfatal.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provides information about an overdose incident to a local health authority or law enforcement agency in good faith under this section is not subject to civil or criminal liability for providing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may use information provided or received under this section only for mapping overdose locations for public safety purposes.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provided for purposes of overdose mapping under this section is confidential and not subject to disclosure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181.154, Health and Safety Code, does not apply to information provided, received, or used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