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88R10756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Lopez of Cameron, Garcia, Gamez</w:t>
      </w:r>
      <w:r xml:space="preserve">
        <w:tab wTab="150" tlc="none" cTlc="0"/>
      </w:r>
      <w:r>
        <w:t xml:space="preserve">H.B.</w:t>
      </w:r>
      <w:r xml:space="preserve">
        <w:t> </w:t>
      </w:r>
      <w:r>
        <w:t xml:space="preserve">No.</w:t>
      </w:r>
      <w:r xml:space="preserve">
        <w:t> </w:t>
      </w:r>
      <w:r>
        <w:t xml:space="preserve">3483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distribution, and posting of a veterans benefits and services poster in the workplace.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Labor Code, is amended by adding Chapter 319 to read as follows:</w:t>
      </w:r>
    </w:p>
    <w:p w:rsidR="003F3435" w:rsidRDefault="0032493E">
      <w:pPr>
        <w:spacing w:line="480" w:lineRule="auto"/>
        <w:jc w:val="center"/>
      </w:pPr>
      <w:r>
        <w:rPr>
          <w:u w:val="single"/>
        </w:rPr>
        <w:t xml:space="preserve">CHAPTER 319. POSTING OF INFORMATION ABOUT BENEFITS AND SERVICES FOR VETERANS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319.001.</w:t>
      </w:r>
      <w:r>
        <w:rPr>
          <w:u w:val="single"/>
        </w:rPr>
        <w:t xml:space="preserve"> </w:t>
      </w:r>
      <w:r>
        <w:rPr>
          <w:u w:val="single"/>
        </w:rPr>
        <w:t xml:space="preserve"> </w:t>
      </w:r>
      <w:r>
        <w:rPr>
          <w:u w:val="single"/>
        </w:rPr>
        <w:t xml:space="preserve">VETERANS BENEFITS AND SERVICES POSTER.  (a) </w:t>
      </w:r>
      <w:r>
        <w:rPr>
          <w:u w:val="single"/>
        </w:rPr>
        <w:t xml:space="preserve"> </w:t>
      </w:r>
      <w:r>
        <w:rPr>
          <w:u w:val="single"/>
        </w:rPr>
        <w:t xml:space="preserve">In this section, "employer" means a person who employs at least 50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in consultation with the Texas Veterans Commission, create and distribute to each employer in this state a veterans benefits and services poster containing information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how an employee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 for unemployment compensation benefits under Subtitle A and unemployment compensation benefits that may be offered under a program administered by an agency of the federal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contact the Texas Veterans Commission, including how an employee may access the Internet website maintained by the Texas Veterans Commission and the veterans crisis hotline established by the United States Department of Veterans Affairs under 38 U.S.C. Section 1720F;</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exercise any tax benefits or preferences offered to veterans under the Tax Code or Internal Revenue Code of 1986;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obtain a driver's license or personal identification card issued by the Department of Public Safety;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services that may be available to veterans in this state,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 workforce placement, and training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legal assistance;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substance abuse and mental health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employer shall display the veterans benefits and services poster distributed by the commission under this section in a conspicuous place in the employer's place of business that is accessible to all employees.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Workforce Commission shall, in consultation with the Texas Veterans Commission, create and distribute the veterans benefits and services poster as required by Section 319.001, Labor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