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88R21074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Williamson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hydrogen fueled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or combination of vehicles that is powered by an engine fueled primarily by natural gas </w:t>
      </w:r>
      <w:r>
        <w:rPr>
          <w:u w:val="single"/>
        </w:rPr>
        <w:t xml:space="preserve">or hydrogen</w:t>
      </w:r>
      <w:r>
        <w:t xml:space="preserve"> may exceed any weight limitation under this section by an amount that is equal to the difference between the weight of the vehicle attributable to the natural gas </w:t>
      </w:r>
      <w:r>
        <w:rPr>
          <w:u w:val="single"/>
        </w:rPr>
        <w:t xml:space="preserve">or hydrogen</w:t>
      </w:r>
      <w:r>
        <w:t xml:space="preserve"> tank and fueling system carried by that vehicle and the weight of a comparable diesel tank and fueling system, provided that the maximum gross weight of the vehicle or combination of vehicles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Except as otherwise provided by this section, this Act takes effect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Act takes effect only if the United States Congress enacts legislation or a federal agency adopts a regulation that becomes law authorizing a vehicle that is powered by an engine fueled primarily by hydrogen to be operated on a federal interstate or highway at a weight that exceeds a weight limitation established by federal law. </w:t>
      </w:r>
      <w:r>
        <w:t xml:space="preserve"> </w:t>
      </w:r>
      <w:r>
        <w:t xml:space="preserve">If the United States Congress or a federal agency does not enact legislation or adopt a regulation that becomes law described by this subsection,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