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3484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weight exemptions for alternative fueled heavy weight vehicles on state highways.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621.101(b), Transportation Code, is amended as follows:</w:t>
      </w:r>
    </w:p>
    <w:p w:rsidR="003F3435" w:rsidRDefault="0032493E">
      <w:pPr>
        <w:spacing w:line="480" w:lineRule="auto"/>
        <w:ind w:firstLine="720"/>
        <w:jc w:val="both"/>
      </w:pPr>
      <w:r>
        <w:t xml:space="preserve">(b)</w:t>
      </w:r>
      <w:r xml:space="preserve">
        <w:t> </w:t>
      </w:r>
      <w:r xml:space="preserve">
        <w:t> </w:t>
      </w:r>
      <w:r>
        <w:t xml:space="preserve">Notwithstanding Subsection (a)(3), two consecutive sets of tandem axles may carry a gross load of not more than 34,000 pounds each if the overall distance between the first and last axles of the consecutive sets is 36 feet or more. </w:t>
      </w:r>
      <w:r>
        <w:t xml:space="preserve"> </w:t>
      </w:r>
      <w:r>
        <w:t xml:space="preserve">The overall gross weight on a group of two or more consecutive axles may not be heavier than 80,000 pounds, including all enforcement tolerances, regardless of tire ratings, axle spacing (bridge), and number of axles.</w:t>
      </w:r>
    </w:p>
    <w:p w:rsidR="003F3435" w:rsidRDefault="0032493E">
      <w:pPr>
        <w:spacing w:line="480" w:lineRule="auto"/>
        <w:ind w:firstLine="720"/>
        <w:jc w:val="both"/>
      </w:pPr>
      <w:r>
        <w:t xml:space="preserve">(b-1)</w:t>
      </w:r>
      <w:r xml:space="preserve">
        <w:t> </w:t>
      </w:r>
      <w:r xml:space="preserve">
        <w:t> </w:t>
      </w:r>
      <w:r>
        <w:t xml:space="preserve">Notwithstanding any other provision of this section, a vehicle or combination of vehicles that is powered by an engine fueled primarily by natural gas </w:t>
      </w:r>
      <w:r>
        <w:rPr>
          <w:u w:val="single"/>
        </w:rPr>
        <w:t xml:space="preserve">and hydrogen</w:t>
      </w:r>
      <w:r>
        <w:t xml:space="preserve"> may exceed any weight limitation under this section by an amount that is equal to the difference between the weight of the vehicle attributable to the natural gas </w:t>
      </w:r>
      <w:r>
        <w:rPr>
          <w:u w:val="single"/>
        </w:rPr>
        <w:t xml:space="preserve">and hydrogen</w:t>
      </w:r>
      <w:r>
        <w:t xml:space="preserve"> tank and fueling system carried by that vehicle and the weight of a comparable diesel tank and fueling system, provided that the maximum gross weight of the vehicle or combination of vehicles may not exceed 82,000 pounds.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