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authority to impose certain value-based fees and require disclosure of certain information related to subdivision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212, Local Government Code, is amended by adding Section 212.906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212.906.</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municipality related to the acceptance, review, or processing of engineering or construction plans or for the inspection of improvements for construction of a subdivision or lot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municipality shall determine the fee by considering the municipality's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municipality's actual cost for reviewing and processing an engineering or construction plan or inspecting a public infrastructure improvement under Subsection (b), a municipality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municipality's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municipality by a third-party entity that provides those services to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that imposes a fee for reviewing or processing an engineering or construction plan or inspecting a public infrastructure improvement shall annually publish the fee and the hourly rate and estimated direct time incurred by municipal employees for a fee calculated under Subsection (c)(2). </w:t>
      </w:r>
      <w:r>
        <w:rPr>
          <w:u w:val="single"/>
        </w:rPr>
        <w:t xml:space="preserve"> </w:t>
      </w:r>
      <w:r>
        <w:rPr>
          <w:u w:val="single"/>
        </w:rPr>
        <w:t xml:space="preserve">The municipality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municipality's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does not maintain an Internet website, in a newspaper of general circulation in the county in which the municipality is primarily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232, Local Government Code, is amended by adding Subchapter Z to read as follows:</w:t>
      </w:r>
    </w:p>
    <w:p w:rsidR="003F3435" w:rsidRDefault="0032493E">
      <w:pPr>
        <w:spacing w:line="480" w:lineRule="auto"/>
        <w:jc w:val="center"/>
      </w:pPr>
      <w:r>
        <w:rPr>
          <w:u w:val="single"/>
        </w:rPr>
        <w:t xml:space="preserve">SUBCHAPTER Z.</w:t>
      </w:r>
      <w:r>
        <w:rPr>
          <w:u w:val="single"/>
        </w:rPr>
        <w:t xml:space="preserve">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232.901.</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county shall determine the fee by considering the county's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county's actual cost for reviewing and processing an engineering or construction plan or inspecting a public infrastructure improvement under Subsection (b), a county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county's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county by a third-party entity that provides those services to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that imposes a fee for reviewing or processing an engin</w:t>
      </w:r>
      <w:r>
        <w:rPr>
          <w:u w:val="single"/>
        </w:rPr>
        <w:t xml:space="preserve">eering or construction plan or inspecting a public infrastructure improvement shall annually publish the fee and the hourly rate and estimated direct time incurred by county employees for a fee calculated under Subsection (c)(2). </w:t>
      </w:r>
      <w:r>
        <w:rPr>
          <w:u w:val="single"/>
        </w:rPr>
        <w:t xml:space="preserve"> </w:t>
      </w:r>
      <w:r>
        <w:rPr>
          <w:u w:val="single"/>
        </w:rPr>
        <w:t xml:space="preserve">The county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county's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does not maintain an Internet website, in a newspaper of general circulation in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fee subject to Section 212.906 or 232.901, Local Government Code, as added by this Act, assessed by a county or municipality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