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3492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6, Nays 3;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county and municipal authority to impose certain value-based fees and require disclosure of certain information related to subdivision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212, Local Government Code, is amended by adding Section 212.906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212.906.</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municipality related to the acceptance, review, or processing of engineering or construction plans or for the inspection of improvements for construction of a subdivision or lot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municipality shall determine the fee by considering the municipality's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municipality's actual cost for reviewing and processing an engineering or construction plan or inspecting a public infrastructure improvement under Subsection (b), a municipality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municipality's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municipality by a third-party entity that provides those services to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that imposes a fee for reviewing or processing an engineering or construction plan or inspecting a public infrastructure improvement shall annually publish the fee and the hourly rate and estimated direct time incurred by municipal employees for a fee calculated under Subsection (c)(2). </w:t>
      </w:r>
      <w:r>
        <w:rPr>
          <w:u w:val="single"/>
        </w:rPr>
        <w:t xml:space="preserve"> </w:t>
      </w:r>
      <w:r>
        <w:rPr>
          <w:u w:val="single"/>
        </w:rPr>
        <w:t xml:space="preserve">The municipality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municipality's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does not maintain an Internet website, in a newspaper of general circulation in the county in which the municipality is primarily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232, Local Government Code, is amended by adding Subchapter Z to read as follows:</w:t>
      </w:r>
    </w:p>
    <w:p w:rsidR="003F3435" w:rsidRDefault="0032493E">
      <w:pPr>
        <w:spacing w:line="480" w:lineRule="auto"/>
        <w:jc w:val="center"/>
      </w:pPr>
      <w:r>
        <w:rPr>
          <w:u w:val="single"/>
        </w:rPr>
        <w:t xml:space="preserve">SUBCHAPTER Z.</w:t>
      </w:r>
      <w:r>
        <w:rPr>
          <w:u w:val="single"/>
        </w:rPr>
        <w:t xml:space="preserve">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232.901.</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county shall determine the fee by considering the county's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county's actual cost for reviewing and processing an engineering or construction plan or inspecting a public infrastructure improvement under Subsection (b), a county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county's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county by a third-party entity that provides those services to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that imposes a fee for reviewing or processing an engineering or construction plan or inspecting a public infrastructure improvement shall annually publish the fee and the hourly rate and estimated direct time incurred by county employees for a fee calculated under Subsection (c)(2). </w:t>
      </w:r>
      <w:r>
        <w:rPr>
          <w:u w:val="single"/>
        </w:rPr>
        <w:t xml:space="preserve"> </w:t>
      </w:r>
      <w:r>
        <w:rPr>
          <w:u w:val="single"/>
        </w:rPr>
        <w:t xml:space="preserve">The county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county's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does not maintain an Internet website, in a newspaper of general circulation in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fee subject to Section 212.906 or 232.901, Local Government Code, as added by this Act, assessed by a county or municipality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