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88R23570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3497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3497: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3497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 that certain persons taking oysters on a licensed commercial oyster boat obtain a commercial fisherman's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47.002(f),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person who takes or assists in taking oysters on a vessel licensed as a commercial oyster boat under Chapter 76 is [</w:t>
      </w:r>
      <w:r>
        <w:rPr>
          <w:strike/>
        </w:rPr>
        <w:t xml:space="preserve">not</w:t>
      </w:r>
      <w:r>
        <w:t xml:space="preserve">] required to obtain or possess a general commercial fisherman's license. </w:t>
      </w:r>
      <w:r>
        <w:t xml:space="preserve"> </w:t>
      </w:r>
      <w:r>
        <w:rPr>
          <w:u w:val="single"/>
        </w:rPr>
        <w:t xml:space="preserve">This subsection does not apply to the holder of a commercial oyster boat captain's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76.101(d),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Each member of the crew of a licensed commercial oyster boat is required to have a general commercial fisherman's license to take oysters while they are on a licensed boat that is being used to take oysters.  </w:t>
      </w:r>
      <w:r>
        <w:rPr>
          <w:u w:val="single"/>
        </w:rPr>
        <w:t xml:space="preserve">This subsection does not apply to the holder of a commercial oyster boat captain's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3497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