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88R14285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3500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certain criminal conduct involving the smuggling of persons, the operation of a stash house, or evading an arrest or detention;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12.50(b) and (c), Penal Code, are amended to read as follows:</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t xml:space="preserve"> </w:t>
      </w:r>
      <w:r>
        <w:t xml:space="preserve">If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 </w:t>
      </w:r>
      <w:r>
        <w:t xml:space="preserve"> </w:t>
      </w:r>
      <w:r>
        <w:rPr>
          <w:u w:val="single"/>
        </w:rPr>
        <w:t xml:space="preserve">The minimum term of imprisonment for an offense listed under Subsection (b)(1), (2), or (3) for which punishment is increased under this section is 10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20.05(b),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w:t>
      </w:r>
      <w:r>
        <w:rPr>
          <w:u w:val="single"/>
        </w:rPr>
        <w:t xml:space="preserve">with a term of imprisonment of 10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20.06(e)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10 years</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first degree </w:t>
      </w:r>
      <w:r>
        <w:rPr>
          <w:u w:val="single"/>
        </w:rPr>
        <w:t xml:space="preserve">with a minimum term of imprisonment of 10 years</w:t>
      </w:r>
      <w:r>
        <w:t xml:space="preserve"> if:</w:t>
      </w:r>
    </w:p>
    <w:p w:rsidR="003F3435" w:rsidRDefault="0032493E">
      <w:pPr>
        <w:spacing w:line="480" w:lineRule="auto"/>
        <w:ind w:firstLine="1440"/>
        <w:jc w:val="both"/>
      </w:pPr>
      <w:r>
        <w:t xml:space="preserve">(1)</w:t>
      </w:r>
      <w:r xml:space="preserve">
        <w:t> </w:t>
      </w:r>
      <w:r xml:space="preserve">
        <w:t> </w:t>
      </w:r>
      <w:r>
        <w:t xml:space="preserve">the conduct constituting an offense under Section 20.05 is conducted in a manner that creates a substantial likelihood that the smuggled individual will suffer serious bodily injury or death; or</w:t>
      </w:r>
    </w:p>
    <w:p w:rsidR="003F3435" w:rsidRDefault="0032493E">
      <w:pPr>
        <w:spacing w:line="480" w:lineRule="auto"/>
        <w:ind w:firstLine="1440"/>
        <w:jc w:val="both"/>
      </w:pPr>
      <w:r>
        <w:t xml:space="preserve">(2)</w:t>
      </w:r>
      <w:r xml:space="preserve">
        <w:t> </w:t>
      </w:r>
      <w:r xml:space="preserve">
        <w:t> </w:t>
      </w:r>
      <w:r>
        <w:t xml:space="preserve">the smuggled individual is a child younger than 18 years of age at the time of the offense.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 with a minimum term of imprisonment of five years, except that the offense is a felony of the second degree with a minimum term of imprisonment of five years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is committed under Subsection (a)(1) and the property that is the subject of the offense is used to commit or facilitate the commission of an offense under Section 20.06, 20A.03, or 43.05;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as a direct result of the commission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became a victim of sexual assault, as defined by Section 22.011, or aggravated sexual assault, as defined by Section 22.021;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suffered serious bodily injury or death</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22.01(b-1), Penal Code, is amended to read as follows:</w:t>
      </w:r>
    </w:p>
    <w:p w:rsidR="003F3435" w:rsidRDefault="0032493E">
      <w:pPr>
        <w:spacing w:line="480" w:lineRule="auto"/>
        <w:ind w:firstLine="720"/>
        <w:jc w:val="both"/>
      </w:pPr>
      <w:r>
        <w:t xml:space="preserve">(b-1)</w:t>
      </w:r>
      <w:r xml:space="preserve">
        <w:t> </w:t>
      </w:r>
      <w:r xml:space="preserve">
        <w:t> </w:t>
      </w:r>
      <w:r>
        <w:t xml:space="preserve">Notwithstanding Subsection (b), an offense under Subsection (a)(1) is a felony of the third degree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 or</w:t>
      </w:r>
    </w:p>
    <w:p w:rsidR="003F3435" w:rsidRDefault="0032493E">
      <w:pPr>
        <w:spacing w:line="480" w:lineRule="auto"/>
        <w:ind w:firstLine="1440"/>
        <w:jc w:val="both"/>
      </w:pPr>
      <w:r>
        <w:rPr>
          <w:u w:val="single"/>
        </w:rPr>
        <w:t xml:space="preserve">(2)</w:t>
      </w:r>
      <w:r xml:space="preserve">
        <w:t> </w:t>
      </w:r>
      <w:r xml:space="preserve">
        <w:t> </w:t>
      </w:r>
      <w:r>
        <w:t xml:space="preserve">the offense is committed: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while the actor is committed to a civil commitment facility;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against:</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an officer or employee of the Texas Civil Commitment Office:</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while the officer or employee is lawfully discharging an official duty at a civil commitment facility; or</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in retaliation for or on account of an exercise of official power or performance of an official duty by the officer or employee; or</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a person who contracts with the state to perform a service in a civil commitment facility or an employee of that person:</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while the person or employee is engaged in performing a service within the scope of the contract, if the actor knows the person or employee is authorized by the state to provide the service; or</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28, Penal Code, is amended by adding Section 28.10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w:t>
      </w:r>
      <w:r>
        <w:rPr>
          <w:u w:val="single"/>
        </w:rPr>
        <w:t xml:space="preserve"> </w:t>
      </w:r>
      <w:r>
        <w:rPr>
          <w:u w:val="single"/>
        </w:rPr>
        <w:t xml:space="preserve"> </w:t>
      </w:r>
      <w:r>
        <w:rPr>
          <w:u w:val="single"/>
        </w:rPr>
        <w:t xml:space="preserve">ENHANCED PENALTY FOR CERTAIN MISDEMEANORS OR STATE JAIL FELONIES.  The punishment for an offense under this chapter that is punishable as a misdemeanor or a state jail felony is increased to the punishment for a felony of the third degree if it is shown on the trial of the offense that the actor committed the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course of committing an offense under Section 20.05(a)(2);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course of or for the purpose of engaging in conduct constituting an offense under Section 38.04.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30.02, Penal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Except as provided in Subsection (c-1)</w:t>
      </w:r>
      <w:r>
        <w:rPr>
          <w:u w:val="single"/>
        </w:rPr>
        <w:t xml:space="preserve">, (c-2),</w:t>
      </w:r>
      <w:r>
        <w:t xml:space="preserve"> or (d), an offense under this section is a:</w:t>
      </w:r>
    </w:p>
    <w:p w:rsidR="003F3435" w:rsidRDefault="0032493E">
      <w:pPr>
        <w:spacing w:line="480" w:lineRule="auto"/>
        <w:ind w:firstLine="1440"/>
        <w:jc w:val="both"/>
      </w:pPr>
      <w:r>
        <w:t xml:space="preserve">(1)</w:t>
      </w:r>
      <w:r xml:space="preserve">
        <w:t> </w:t>
      </w:r>
      <w:r xml:space="preserve">
        <w:t> </w:t>
      </w:r>
      <w:r>
        <w:t xml:space="preserve">state jail felony if committed in a building other than a habitation; or</w:t>
      </w:r>
    </w:p>
    <w:p w:rsidR="003F3435" w:rsidRDefault="0032493E">
      <w:pPr>
        <w:spacing w:line="480" w:lineRule="auto"/>
        <w:ind w:firstLine="1440"/>
        <w:jc w:val="both"/>
      </w:pPr>
      <w:r>
        <w:t xml:space="preserve">(2)</w:t>
      </w:r>
      <w:r xml:space="preserve">
        <w:t> </w:t>
      </w:r>
      <w:r xml:space="preserve">
        <w:t> </w:t>
      </w:r>
      <w:r>
        <w:t xml:space="preserve">felony of the second degree if committed in a habitation.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offense under this section is a felony of the third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premises are a building other than a habitation;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30.04(d),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actor breaks into or enters that vehicle with the intent to commit theft of a controlled substance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30.05(d), Penal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(d-3), 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w:t>
      </w:r>
      <w:r>
        <w:rPr>
          <w:u w:val="single"/>
        </w:rPr>
        <w:t xml:space="preserve">,</w:t>
      </w:r>
      <w:r>
        <w:t xml:space="preserve"> [</w:t>
      </w:r>
      <w:r>
        <w:rPr>
          <w:strike/>
        </w:rPr>
        <w:t xml:space="preserve">and</w:t>
      </w:r>
      <w:r>
        <w:t xml:space="preserve">] (3)</w:t>
      </w:r>
      <w:r>
        <w:rPr>
          <w:u w:val="single"/>
        </w:rPr>
        <w:t xml:space="preserve">, and (4)</w:t>
      </w:r>
      <w:r>
        <w:t xml:space="preserve">;</w:t>
      </w:r>
    </w:p>
    <w:p w:rsidR="003F3435" w:rsidRDefault="0032493E">
      <w:pPr>
        <w:spacing w:line="480" w:lineRule="auto"/>
        <w:ind w:firstLine="1440"/>
        <w:jc w:val="both"/>
      </w:pPr>
      <w:r>
        <w:t xml:space="preserve">(2)</w:t>
      </w:r>
      <w:r xml:space="preserve">
        <w:t> </w:t>
      </w:r>
      <w:r xml:space="preserve">
        <w:t> </w:t>
      </w:r>
      <w:r>
        <w:t xml:space="preserve">a Class C misdemeanor, except as provided by </w:t>
      </w:r>
      <w:r>
        <w:rPr>
          <w:u w:val="single"/>
        </w:rPr>
        <w:t xml:space="preserve">Subdivisions</w:t>
      </w:r>
      <w:r>
        <w:t xml:space="preserve"> [</w:t>
      </w:r>
      <w:r>
        <w:rPr>
          <w:strike/>
        </w:rPr>
        <w:t xml:space="preserve">Subdivision</w:t>
      </w:r>
      <w:r>
        <w:t xml:space="preserve">] (3) </w:t>
      </w:r>
      <w:r>
        <w:rPr>
          <w:u w:val="single"/>
        </w:rPr>
        <w:t xml:space="preserve">and (4)</w:t>
      </w:r>
      <w:r>
        <w:t xml:space="preserve">,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Class A misdemeanor</w:t>
      </w:r>
      <w:r>
        <w:rPr>
          <w:u w:val="single"/>
        </w:rPr>
        <w:t xml:space="preserve">, except as provided by Subdivision (4),</w:t>
      </w:r>
      <w:r>
        <w:t xml:space="preserve">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 or</w:t>
      </w:r>
    </w:p>
    <w:p w:rsidR="003F3435" w:rsidRDefault="0032493E">
      <w:pPr>
        <w:spacing w:line="480" w:lineRule="auto"/>
        <w:ind w:firstLine="2160"/>
        <w:jc w:val="both"/>
      </w:pPr>
      <w:r>
        <w:t xml:space="preserve">(D)</w:t>
      </w:r>
      <w:r xml:space="preserve">
        <w:t> </w:t>
      </w:r>
      <w:r xml:space="preserve">
        <w:t> </w:t>
      </w:r>
      <w:r>
        <w:t xml:space="preserve">the offense is committed on the property of or within a general residential operation operating as a residential treatment center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third degree if it is shown on the trial of the offense that the defendant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38.04,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 offense under this section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