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88R8527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3502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health benefit plan coverage for gender transition adverse effects and reversals.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1372 to read as follows:</w:t>
      </w:r>
    </w:p>
    <w:p w:rsidR="003F3435" w:rsidRDefault="0032493E">
      <w:pPr>
        <w:spacing w:line="480" w:lineRule="auto"/>
        <w:jc w:val="center"/>
      </w:pPr>
      <w:r>
        <w:rPr>
          <w:u w:val="single"/>
        </w:rPr>
        <w:t xml:space="preserve">CHAPTER 1372. </w:t>
      </w:r>
      <w:r>
        <w:rPr>
          <w:u w:val="single"/>
        </w:rPr>
        <w:t xml:space="preserve"> </w:t>
      </w:r>
      <w:r>
        <w:rPr>
          <w:u w:val="single"/>
        </w:rPr>
        <w:t xml:space="preserve">REQUIRED COVERAGE OF GENDER TRANSITION ADVERSE EFFECTS AND REVERSALS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"Gender transition"  means the process by which an individual progresses from identifying with and living as the gender that corresponds to the individual's biological sex to identifying with and living as a gender different than the individual's biological sex.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"Gender transition procedure or treatment" means a medical procedure or treatment performed or provided for the purpose of assisting an individual with a gender transition.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1372.002.</w:t>
      </w:r>
      <w:r>
        <w:rPr>
          <w:u w:val="single"/>
        </w:rPr>
        <w:t xml:space="preserve"> </w:t>
      </w:r>
      <w:r>
        <w:rPr>
          <w:u w:val="single"/>
        </w:rPr>
        <w:t xml:space="preserve"> </w:t>
      </w:r>
      <w:r>
        <w:rPr>
          <w:u w:val="single"/>
        </w:rPr>
        <w:t xml:space="preserve">APPLICABILITY OF CHAPTER.</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This chapter applies only to a health benefit plan that provides benefits for medical or surgical expenses or pharmacy benefits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nonprofit agricultural organization health benefits offered by a nonprofit agricultural organization under Chapter 1682;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alternative health benefit coverage offered by a subsidiary of the Texas Mutual Insurance Company under Subchapter M, Chapter 2054;</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does not apply to a self-funded health benefit plan as defined by the Employee Retirement Income Security Act of 1974 (29 U.S.C. Section 1001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1372.003.</w:t>
      </w:r>
      <w:r>
        <w:rPr>
          <w:u w:val="single"/>
        </w:rPr>
        <w:t xml:space="preserve"> </w:t>
      </w:r>
      <w:r>
        <w:rPr>
          <w:u w:val="single"/>
        </w:rPr>
        <w:t xml:space="preserve"> </w:t>
      </w:r>
      <w:r>
        <w:rPr>
          <w:u w:val="single"/>
        </w:rPr>
        <w:t xml:space="preserve">REQUIRED COVERAGE.  (a) </w:t>
      </w:r>
      <w:r>
        <w:rPr>
          <w:u w:val="single"/>
        </w:rPr>
        <w:t xml:space="preserve"> </w:t>
      </w:r>
      <w:r>
        <w:rPr>
          <w:u w:val="single"/>
        </w:rPr>
        <w:t xml:space="preserve">A health benefit plan that provides coverage for an enrollee's gender transition procedure or treatment shall provide coverage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possible adverse consequences related to the enrollee's gender transition procedure or treatment, including any short- or long-term side effects of the procedure or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testing or screening necessary to monitor the mental and physical health of the enrollee on at least an annual basis;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procedure or treatment necessary to reverse the enrollee's gender transition procedure or treatment.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that offers coverage for a gender transition procedure or treatment shall also provide the coverage described by Subsection (a) to any enrollee who has undergone a gender transition procedure or treatment regardless of whether the enrollee was enrolled in the plan at the time of the procedure or treatment.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1372.003, Insurance Code, as added by 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