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88R9766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a student transcript by an independent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7.010, Education Code,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request of a person to whom a school district is authorized under applicable state or federal law to release a student's transcript, the district shall provide an electronic copy of the transcript through the electronic student records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11.158(b),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may not charge fees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instructional materials, workbooks, laboratory supplies, or other supplies necessary for participation in any instructional course except as authorized under this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field trips required as a part of a basic education program or course;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specific form of dress necessary for any required educational program or diplomas;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payment of instructional costs for necessary school personnel employed in any course or educational program required for graduation;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library materials required to be used for any educational course or program, other than fines for lost, damaged, or overdue materials;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admission to any activity the student is required to attend as a prerequisite to graduation;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admission to or examination in any required educational course or program;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lockers</w:t>
      </w:r>
      <w:r>
        <w:rPr>
          <w:u w:val="single"/>
        </w:rPr>
        <w:t xml:space="preserve">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copies of a student's transcript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