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88R14573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Water Development Board to provide financial assistance from the economically distressed areas account that is not required to be repaid.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17.933(c),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total amount of financial assistance provided by the board to political subdivisions under this subchapter from state-issued bonds for which repayment is not required may not exceed at any time </w:t>
      </w:r>
      <w:r>
        <w:rPr>
          <w:u w:val="single"/>
        </w:rPr>
        <w:t xml:space="preserve">90</w:t>
      </w:r>
      <w:r>
        <w:t xml:space="preserve"> [</w:t>
      </w:r>
      <w:r>
        <w:rPr>
          <w:strike/>
        </w:rPr>
        <w:t xml:space="preserve">70</w:t>
      </w:r>
      <w:r>
        <w:t xml:space="preserve">] percent of the total principal amount of issued and unissued bonds authorized under Article III of the Texas Constitution, for purposes of this subchapter plus outstanding interest on those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