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88R13474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application of a municipal or county building code to the construction of a solar pergola.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214, Local Government Code, is amended by adding Section 214.221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214.221.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 OF SOLAR PERGOLAS.  A municipality may not apply a municipal building code to the construction of a solar pergola.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233, Local Government Code, is amended by adding Section 233.902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233.902.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 OF SOLAR PERGOLAS.  A county may not apply a building code to the construction of a solar pergola.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the construction of a solar pergola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