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88R13205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Neave Criado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confinement in a county jail of certain defendants who are incompetent to stand trial and to the compensation to the county for the costs of that confinement.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46B, Code of Criminal Procedure, is amended by adding Article 46B.014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46B.014.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TO COMMISSION; COMPENSATION TO COUNTIES.  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 shall take custody of a defendant awaiting transfer to a mental health facility under an order issued under Article 46B.073, not later than the 21st day following the date the order is received by the commission.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commission does not take custody of a defendant within the period prescribed by Subsection (a), the commission shall compensate the county at a rate of $350 for each day that the defendant remains confined in the county jail following the expiration of that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Article 46B.014, Code of Criminal Procedure, as added by this Act, applies only to compensation to a county for the cost of a defendant's confinement that occurs on or after October 1, 2023, regardless of whether the order of commitment is issued before, on, or after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