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88R20122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Sherman, Sr.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3532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3532: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Bowers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3532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notification requirements for law enforcement agencies regarding a missing child with an intellectual disability or mental illness.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63, Code of Criminal Procedure, is amended by adding Article 63.0093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63.0093.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NOTIFICATION REGARDING MISSING CHILD WITH INTELLECTUAL DISABILITY OR MENTAL ILLNESS.  (a) </w:t>
      </w:r>
      <w:r>
        <w:rPr>
          <w:u w:val="single"/>
        </w:rPr>
        <w:t xml:space="preserve"> </w:t>
      </w:r>
      <w:r>
        <w:rPr>
          <w:u w:val="single"/>
        </w:rPr>
        <w:t xml:space="preserve">In this article, "intellectual disability" and "mental illness" have the meanings assigned by Article 46B.001.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soon as practicable after a law enforcement agency detains, arrests, or releases a missing child with an intellectual disability or mental illness, the agency shall notify the missing child's parent, managing conservator, or guardian regarding the agency's detention, arrest, or release.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3532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