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3533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elimination of limitations periods for suits for personal injury arising from certain offenses against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16.003(a),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Sections 16.010, 16.0031, [</w:t>
      </w:r>
      <w:r>
        <w:rPr>
          <w:strike/>
        </w:rPr>
        <w:t xml:space="preserve">and</w:t>
      </w:r>
      <w:r>
        <w:t xml:space="preserve">] 16.0045, </w:t>
      </w:r>
      <w:r>
        <w:rPr>
          <w:u w:val="single"/>
        </w:rPr>
        <w:t xml:space="preserve">and 16.0046,</w:t>
      </w:r>
      <w:r>
        <w:t xml:space="preserve"> a person must bring suit for trespass for injury to the estate or to the property of another, conversion of personal property, taking or detaining the personal property of another, personal injury, forcible entry and detainer, and forcible detainer not later than two years after the day the cause of action accrues.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16.0045(c), Civil Practice and Remedies Code, is amended to read as follows:</w:t>
      </w:r>
    </w:p>
    <w:p w:rsidR="003F3435" w:rsidRDefault="0032493E">
      <w:pPr>
        <w:spacing w:line="480" w:lineRule="auto"/>
        <w:ind w:firstLine="720"/>
        <w:jc w:val="both"/>
      </w:pPr>
      <w:r>
        <w:t xml:space="preserve">(c)</w:t>
      </w:r>
      <w:r xml:space="preserve">
        <w:t> </w:t>
      </w:r>
      <w:r xml:space="preserve">
        <w:t> </w:t>
      </w:r>
      <w:r>
        <w:t xml:space="preserve">In an action for injury resulting in death arising as a result of conduct described by Subsection [</w:t>
      </w:r>
      <w:r>
        <w:rPr>
          <w:strike/>
        </w:rPr>
        <w:t xml:space="preserve">(a) or</w:t>
      </w:r>
      <w:r>
        <w:t xml:space="preserve">] (b), the cause of action accrues on the death of the injured person.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16.0045(a), Civil Practice and Remedies Code, is redesignated as Section 16.0046, Civil Practice and Remedies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16.0046.</w:t>
      </w:r>
      <w:r>
        <w:rPr>
          <w:u w:val="single"/>
        </w:rPr>
        <w:t xml:space="preserve"> </w:t>
      </w:r>
      <w:r>
        <w:rPr>
          <w:u w:val="single"/>
        </w:rPr>
        <w:t xml:space="preserve"> </w:t>
      </w:r>
      <w:r>
        <w:rPr>
          <w:u w:val="single"/>
        </w:rPr>
        <w:t xml:space="preserve">NO LIMITATIONS PERIOD.</w:t>
      </w:r>
      <w:r>
        <w:t xml:space="preserve"> </w:t>
      </w:r>
      <w:r>
        <w:t xml:space="preserve"> </w:t>
      </w:r>
      <w:r>
        <w:t xml:space="preserve">[</w:t>
      </w:r>
      <w:r>
        <w:rPr>
          <w:strike/>
        </w:rPr>
        <w:t xml:space="preserve">(a)</w:t>
      </w:r>
      <w:r>
        <w:t xml:space="preserve">]  A person </w:t>
      </w:r>
      <w:r>
        <w:rPr>
          <w:u w:val="single"/>
        </w:rPr>
        <w:t xml:space="preserve">may</w:t>
      </w:r>
      <w:r>
        <w:t xml:space="preserve"> [</w:t>
      </w:r>
      <w:r>
        <w:rPr>
          <w:strike/>
        </w:rPr>
        <w:t xml:space="preserve">must</w:t>
      </w:r>
      <w:r>
        <w:t xml:space="preserve">] bring </w:t>
      </w:r>
      <w:r>
        <w:rPr>
          <w:u w:val="single"/>
        </w:rPr>
        <w:t xml:space="preserve">a</w:t>
      </w:r>
      <w:r>
        <w:t xml:space="preserve"> suit for personal injury </w:t>
      </w:r>
      <w:r>
        <w:rPr>
          <w:u w:val="single"/>
        </w:rPr>
        <w:t xml:space="preserve">at any time</w:t>
      </w:r>
      <w:r>
        <w:t xml:space="preserve"> [</w:t>
      </w:r>
      <w:r>
        <w:rPr>
          <w:strike/>
        </w:rPr>
        <w:t xml:space="preserve">not later than 30 years after the day the cause of action accrues</w:t>
      </w:r>
      <w:r>
        <w:t xml:space="preserve">] if the injury arises as a result of conduct that violates:</w:t>
      </w:r>
    </w:p>
    <w:p w:rsidR="003F3435" w:rsidRDefault="0032493E">
      <w:pPr>
        <w:spacing w:line="480" w:lineRule="auto"/>
        <w:ind w:firstLine="1440"/>
        <w:jc w:val="both"/>
      </w:pPr>
      <w:r>
        <w:t xml:space="preserve">(1)</w:t>
      </w:r>
      <w:r xml:space="preserve">
        <w:t> </w:t>
      </w:r>
      <w:r xml:space="preserve">
        <w:t> </w:t>
      </w:r>
      <w:r>
        <w:t xml:space="preserve">Section 22.011(a)(2), Penal Code (sexual assault of a child);</w:t>
      </w:r>
    </w:p>
    <w:p w:rsidR="003F3435" w:rsidRDefault="0032493E">
      <w:pPr>
        <w:spacing w:line="480" w:lineRule="auto"/>
        <w:ind w:firstLine="1440"/>
        <w:jc w:val="both"/>
      </w:pPr>
      <w:r>
        <w:t xml:space="preserve">(2)</w:t>
      </w:r>
      <w:r xml:space="preserve">
        <w:t> </w:t>
      </w:r>
      <w:r xml:space="preserve">
        <w:t> </w:t>
      </w:r>
      <w:r>
        <w:t xml:space="preserve">Section 22.021(a)(1)(B), Penal Code (aggravated sexual assault of a child);</w:t>
      </w:r>
    </w:p>
    <w:p w:rsidR="003F3435" w:rsidRDefault="0032493E">
      <w:pPr>
        <w:spacing w:line="480" w:lineRule="auto"/>
        <w:ind w:firstLine="1440"/>
        <w:jc w:val="both"/>
      </w:pPr>
      <w:r>
        <w:t xml:space="preserve">(3)</w:t>
      </w:r>
      <w:r xml:space="preserve">
        <w:t> </w:t>
      </w:r>
      <w:r xml:space="preserve">
        <w:t> </w:t>
      </w:r>
      <w:r>
        <w:t xml:space="preserve">Section 21.02, Penal Code (continuous sexual abuse of young child or disabled individual);</w:t>
      </w:r>
    </w:p>
    <w:p w:rsidR="003F3435" w:rsidRDefault="0032493E">
      <w:pPr>
        <w:spacing w:line="480" w:lineRule="auto"/>
        <w:ind w:firstLine="1440"/>
        <w:jc w:val="both"/>
      </w:pPr>
      <w:r>
        <w:t xml:space="preserve">(4)</w:t>
      </w:r>
      <w:r xml:space="preserve">
        <w:t> </w:t>
      </w:r>
      <w:r xml:space="preserve">
        <w:t> </w:t>
      </w:r>
      <w:r>
        <w:t xml:space="preserve">Section 20A.02(a)(7)(A), (B), (C), (D), or (H) or Section 20A.02(a)(8), Penal Code, involving an activity described by Section 20A.02(a)(7)(A), (B), (C), (D), or (H) or sexual conduct with a child trafficked in the manner described by Section 20A.02(a)(7), Penal Code (certain sexual trafficking of a child);</w:t>
      </w:r>
    </w:p>
    <w:p w:rsidR="003F3435" w:rsidRDefault="0032493E">
      <w:pPr>
        <w:spacing w:line="480" w:lineRule="auto"/>
        <w:ind w:firstLine="1440"/>
        <w:jc w:val="both"/>
      </w:pPr>
      <w:r>
        <w:t xml:space="preserve">(5)</w:t>
      </w:r>
      <w:r xml:space="preserve">
        <w:t> </w:t>
      </w:r>
      <w:r xml:space="preserve">
        <w:t> </w:t>
      </w:r>
      <w:r>
        <w:t xml:space="preserve">Section 43.05(a)(2), Penal Code (compelling prostitution by a child); or</w:t>
      </w:r>
    </w:p>
    <w:p w:rsidR="003F3435" w:rsidRDefault="0032493E">
      <w:pPr>
        <w:spacing w:line="480" w:lineRule="auto"/>
        <w:ind w:firstLine="1440"/>
        <w:jc w:val="both"/>
      </w:pPr>
      <w:r>
        <w:t xml:space="preserve">(6)</w:t>
      </w:r>
      <w:r xml:space="preserve">
        <w:t> </w:t>
      </w:r>
      <w:r xml:space="preserve">
        <w:t> </w:t>
      </w:r>
      <w:r>
        <w:t xml:space="preserve">Section 21.11, Penal Code (indecency with a child).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changes in law made by this Act apply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