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88R13938 JSC-D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Morales Shaw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3535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medical use of low-THC cannabis by patients with certain medical conditions.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169.003,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169.003.</w:t>
      </w:r>
      <w:r xml:space="preserve">
        <w:t> </w:t>
      </w:r>
      <w:r xml:space="preserve">
        <w:t> </w:t>
      </w:r>
      <w:r>
        <w:t xml:space="preserve">PRESCRIPTION OF LOW-THC CANNABIS. </w:t>
      </w:r>
      <w:r>
        <w:t xml:space="preserve"> </w:t>
      </w:r>
      <w:r>
        <w:t xml:space="preserve">A physician described by Section 169.002 may prescribe low-THC cannabis to a patient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patient is a permanent resident of the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physician complies with the registration requirements of Section 169.004;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physician certifies to the department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patient is diagnosed with: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epilepsy;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a seizure disorder;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multiple sclerosis;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spasticity;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(v)</w:t>
      </w:r>
      <w:r xml:space="preserve">
        <w:t> </w:t>
      </w:r>
      <w:r xml:space="preserve">
        <w:t> </w:t>
      </w:r>
      <w:r>
        <w:t xml:space="preserve">amyotrophic lateral sclerosis </w:t>
      </w:r>
      <w:r>
        <w:rPr>
          <w:u w:val="single"/>
        </w:rPr>
        <w:t xml:space="preserve">or another motor neuron disorder</w:t>
      </w:r>
      <w:r>
        <w:t xml:space="preserve">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(vi)</w:t>
      </w:r>
      <w:r xml:space="preserve">
        <w:t> </w:t>
      </w:r>
      <w:r xml:space="preserve">
        <w:t> </w:t>
      </w:r>
      <w:r>
        <w:t xml:space="preserve">autism;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(vii)</w:t>
      </w:r>
      <w:r xml:space="preserve">
        <w:t> </w:t>
      </w:r>
      <w:r xml:space="preserve">
        <w:t> </w:t>
      </w:r>
      <w:r>
        <w:t xml:space="preserve">cancer;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(viii)</w:t>
      </w:r>
      <w:r xml:space="preserve">
        <w:t> </w:t>
      </w:r>
      <w:r xml:space="preserve">
        <w:t> </w:t>
      </w:r>
      <w:r>
        <w:rPr>
          <w:u w:val="single"/>
        </w:rPr>
        <w:t xml:space="preserve">Parkinson's disease;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(ix)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cerebral palsy;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(x)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brain tumor;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(xi)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vascular insult to the brain;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(xii)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spinal cord disorder;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(xiii)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traumatic brain injury;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(xiv)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post-polio syndrome;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(xv)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muscular dystrophy;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(xvi)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myasthenia gravis;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(xvii)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peripheral neuropathy;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(xviii)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Huntington's disease, Friedreich's ataxia, spinocerebellar degeneration, or another</w:t>
      </w:r>
      <w:r>
        <w:t xml:space="preserve"> [</w:t>
      </w:r>
      <w:r>
        <w:rPr>
          <w:strike/>
        </w:rPr>
        <w:t xml:space="preserve">an</w:t>
      </w:r>
      <w:r>
        <w:t xml:space="preserve">] incurable neurodegenerative disease;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(xix)</w:t>
      </w:r>
      <w:r xml:space="preserve">
        <w:t> </w:t>
      </w:r>
      <w:r>
        <w:t xml:space="preserve">[</w:t>
      </w:r>
      <w:r>
        <w:rPr>
          <w:strike/>
        </w:rPr>
        <w:t xml:space="preserve">(ix)</w:t>
      </w:r>
      <w:r>
        <w:t xml:space="preserve">]</w:t>
      </w:r>
      <w:r xml:space="preserve">
        <w:t> </w:t>
      </w:r>
      <w:r xml:space="preserve">
        <w:t> </w:t>
      </w:r>
      <w:r>
        <w:t xml:space="preserve">post-traumatic stress disorder;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(xx)</w:t>
      </w:r>
      <w:r xml:space="preserve">
        <w:t> </w:t>
      </w:r>
      <w:r>
        <w:t xml:space="preserve">[</w:t>
      </w:r>
      <w:r>
        <w:rPr>
          <w:strike/>
        </w:rPr>
        <w:t xml:space="preserve">(x)</w:t>
      </w:r>
      <w:r>
        <w:t xml:space="preserve">]</w:t>
      </w:r>
      <w:r xml:space="preserve">
        <w:t> </w:t>
      </w:r>
      <w:r xml:space="preserve">
        <w:t> </w:t>
      </w:r>
      <w:r>
        <w:t xml:space="preserve">a medical condition that is approved for a research program under Subchapter F, Chapter 487, Health and Safety Code, and for which the patient is receiving treatment under that program;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physician determines the risk of the medical use of low-THC cannabis by the patient is reasonable in light of the potential benefit for the patient.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