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88R13568 SHH-F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Manuel</w:t>
      </w:r>
      <w:r xml:space="preserve">
        <w:tab wTab="150" tlc="none" cTlc="0"/>
      </w:r>
      <w:r>
        <w:t xml:space="preserve">H.B.</w:t>
      </w:r>
      <w:r xml:space="preserve">
        <w:t> </w:t>
      </w:r>
      <w:r>
        <w:t xml:space="preserve">No.</w:t>
      </w:r>
      <w:r xml:space="preserve">
        <w:t> </w:t>
      </w:r>
      <w:r>
        <w:t xml:space="preserve">3536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commercial landlord's remedies regarding certain unlawful activities on the premises of commercial rental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93.013(a), Property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a provision in a lease to the contrary, a tenant's right of possession terminates and the landlord has a right to recover possession of the leased premises if the tenant is using the premises or allowing the premises to be used for the purposes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prostitution as described by Section 43.02, Penal Code, solicitation of prostitution as described by Section 43.021, Penal Code, promotion of prostitution as described by Section 43.03, Penal Code, aggravated promotion of prostitution as described by Section 43.04, Penal Code, </w:t>
      </w:r>
      <w:r>
        <w:rPr>
          <w:u w:val="single"/>
        </w:rPr>
        <w:t xml:space="preserve">or</w:t>
      </w:r>
      <w:r>
        <w:t xml:space="preserve"> compelling prostitution as described by Section 43.05, Penal Code</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 or</w:t>
      </w:r>
      <w:r>
        <w:t xml:space="preserve">] trafficking of persons as described by Section 20A.02, Penal Code</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operating, maintaining, or advertising a massage establishment, as defined by Section 455.001, Occupations Code, that is not in compliance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Chapter 455, Occupations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applicable local ordinance relating to the licensing or regulation of a massage establishment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commercial lease that is entered into or renewed on or after the effective date of this Act.  A commercial lease that is entered into or renewed before the effective date of this Act is governed by the law applicable to the lease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