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3536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commercial landlord's remedies regarding certain unlawful activities on the premises of commercial rental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93.013(a), Property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prostitution as described by Section 43.02, Penal Code, solicitation of prostitution as described by Section 43.021, Penal Code, promotion of prostitution as described by Section 43.03, Penal Code, aggravated promotion of prostitution as described by Section 43.04, Penal Code, </w:t>
      </w:r>
      <w:r>
        <w:rPr>
          <w:u w:val="single"/>
        </w:rPr>
        <w:t xml:space="preserve">or</w:t>
      </w:r>
      <w:r>
        <w:t xml:space="preserve"> compelling prostitution as described by Section 43.05, Penal Code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trafficking of persons as described by Section 20A.02, Penal Code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maintaining, or advertising a massage establishment, as defined by Section 455.001, Occupations Code, that is not in compliance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applicable local ordinance relating to the licensing or regulation of a massage establishment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commercial lease that is entered into or renewed on or after the effective date of this Act.  A commercial lease that is entered into or renewed before the effective date of this Act is governed by the law applicable to the lease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