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88R13436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overdose mapping by a local health authority or a law enforcement agency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370, Local Government Code, is amended by adding Section 370.007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PARTICIPATION AGREEMENT FOR OVERDOSE MAPPING.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"Controlled substance" has the meaning assigned by Section 481.002,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"Opioid antagonist" has the meaning assigned by Section 483.101,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"Social media platform"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120.001,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or a law enforcement agency located in a county with a population of more than two million may enter into a participation agreement with an entity that maintains a computerized system for mapping overdoses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or law enforcement agency that has entered into a participation agreement under Subsection (b)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solicit and accept information regarding overdoses occurring in the county;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information described by Subdivision (1) to the entity with which the authority or agency has a participation agreement under Subsection (b) for purposes of entering the information into the computerized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or a law enforcement agency may accept information described by Subsection (c)(1) from any credible source, including from a social media platform.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information regarding an overdose incident, if known, must be entered into the computerized system: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and time of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GPS coordinates or approximate location of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suspected controlled substance involved in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an opioid antagonist was administered and, if so, the number of doses and type of delivery;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person who overdosed was transported to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overdose involved the operation of a motor vehicle;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multiple persons were involved in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sex and approximate age of each person receiving treatment for an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overdose was fatal or nonfatal.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provides information about an overdose incident to a local health authority or law enforcement agency in good faith under this section is not subject to civil or criminal liability for providing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may use information provided or received under this section only for mapping overdose locations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provided for purposes of overdose mapping under this section is confidential and not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181.154, Health and Safety Code, does not apply to information provided, received, or used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