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3548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t>
      </w:r>
      <w:r>
        <w:t xml:space="preserve">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