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3553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20A.02(b-1), Penal Code, is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institution of higher education or private or independent institution of higher education, as defined by Section 61.003, Education Code;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